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E3CD" w14:textId="77777777" w:rsidR="002B223B" w:rsidRDefault="002B223B" w:rsidP="003A7390">
      <w:pPr>
        <w:spacing w:line="276" w:lineRule="auto"/>
        <w:ind w:right="8"/>
        <w:jc w:val="right"/>
        <w:rPr>
          <w:rFonts w:cstheme="minorHAnsi"/>
        </w:rPr>
      </w:pPr>
      <w:r>
        <w:rPr>
          <w:rFonts w:cstheme="minorHAnsi"/>
        </w:rPr>
        <w:t>Załącznik nr 12 do Umowy</w:t>
      </w:r>
    </w:p>
    <w:p w14:paraId="1C81B94C" w14:textId="320CEAFA" w:rsidR="00D2273F" w:rsidRPr="009D5AE9" w:rsidRDefault="002B223B" w:rsidP="002B223B">
      <w:pPr>
        <w:spacing w:line="276" w:lineRule="auto"/>
        <w:ind w:right="8"/>
        <w:jc w:val="center"/>
        <w:rPr>
          <w:rFonts w:cstheme="minorHAnsi"/>
        </w:rPr>
      </w:pPr>
      <w:r>
        <w:rPr>
          <w:rFonts w:cstheme="minorHAnsi"/>
        </w:rPr>
        <w:t>KLAUZULA SANKCYJNA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D2273F" w:rsidRPr="009D5AE9" w14:paraId="40D2732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7AE523B" w14:textId="6BA30C79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Objęcie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5956F0F" w14:textId="73C848D7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oznacza wystąpienie okoliczności (w szczególności faktycznych lub prawnych) kwalifikujących dany podmiot do kategorii Podmiotów Objętych Sankcjami</w:t>
            </w:r>
            <w:r w:rsidRPr="009D5AE9">
              <w:rPr>
                <w:rFonts w:cstheme="minorHAnsi"/>
                <w:color w:val="000000" w:themeColor="text1"/>
              </w:rPr>
              <w:t>;</w:t>
            </w:r>
          </w:p>
        </w:tc>
      </w:tr>
      <w:tr w:rsidR="00A02733" w:rsidRPr="009D5AE9" w14:paraId="17DF6DB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42AEDA" w14:textId="7B0678EF" w:rsidR="00A02733" w:rsidRPr="009D5AE9" w:rsidRDefault="00A02733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Podmiot Biorący Udział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70C69" w14:textId="77777777" w:rsidR="00A02733" w:rsidRPr="009D5AE9" w:rsidRDefault="00A02733" w:rsidP="00F7473C">
            <w:p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oznacza podmiot będący:</w:t>
            </w:r>
          </w:p>
          <w:p w14:paraId="7C525159" w14:textId="77777777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Podwykonawcą (któregokolwiek stopnia, tj. także dalszym podwykonawcą lub dostawcą, w tym podwykonawcą lub dostawcą podwykonawcy lub dalszego podwykonawcy i dostawcy), którego przedmiotem świadczenia są jakiekolwiek roboty budowlane, prace, usługi lub dostawy, związane z realizacją Umowy,</w:t>
            </w:r>
          </w:p>
          <w:p w14:paraId="233A8A7C" w14:textId="5257C79A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podmiotem, na którego zdolnościach Wykonawca polega</w:t>
            </w:r>
            <w:r w:rsidR="006F6CF6">
              <w:rPr>
                <w:rFonts w:cstheme="minorHAnsi"/>
              </w:rPr>
              <w:t xml:space="preserve"> w celu wykazania spełniania warunków udziału w postępowaniu</w:t>
            </w:r>
            <w:r w:rsidRPr="009D5AE9">
              <w:rPr>
                <w:rFonts w:cstheme="minorHAnsi"/>
              </w:rPr>
              <w:t>;</w:t>
            </w:r>
          </w:p>
        </w:tc>
      </w:tr>
      <w:tr w:rsidR="00483D8B" w:rsidRPr="00483D8B" w14:paraId="674DFBB3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49998A8" w14:textId="383C520E" w:rsidR="00D2273F" w:rsidRPr="00483D8B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Podmiot Objęty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B3128A3" w14:textId="73315CDB" w:rsidR="00D2273F" w:rsidRPr="00483D8B" w:rsidRDefault="00D2273F" w:rsidP="00F7473C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oznacza podmiot należący do którejkolwiek z poniższych kategorii:</w:t>
            </w:r>
          </w:p>
          <w:p w14:paraId="77F0B580" w14:textId="1AB6839E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o którym mowa w art. 5k ust. 1 Rozporządzenia 833/2014</w:t>
            </w:r>
            <w:r w:rsidR="00502BB2" w:rsidRPr="00483D8B">
              <w:rPr>
                <w:rFonts w:cstheme="minorHAnsi"/>
              </w:rPr>
              <w:t xml:space="preserve"> </w:t>
            </w:r>
            <w:r w:rsidR="00502BB2" w:rsidRPr="00483D8B">
              <w:t>(Dz. Urz. UE</w:t>
            </w:r>
            <w:r w:rsidR="00502BB2" w:rsidRPr="00483D8B">
              <w:br/>
              <w:t>nr L 111 z 8.4.2022), zaktualizowanym rozporządzeniem Rady (UE) 2025/2033 (Dz.U. L, 2025/2033 z 23.10.2025);</w:t>
            </w:r>
            <w:r w:rsidRPr="00483D8B">
              <w:rPr>
                <w:rFonts w:cstheme="minorHAnsi"/>
              </w:rPr>
              <w:t>, tj.:</w:t>
            </w:r>
          </w:p>
          <w:p w14:paraId="686FE9DB" w14:textId="24A455BA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obywatel rosyjski, osoba fizyczna</w:t>
            </w:r>
            <w:r w:rsidR="00502BB2" w:rsidRPr="00483D8B">
              <w:rPr>
                <w:rFonts w:cstheme="minorHAnsi"/>
              </w:rPr>
              <w:t xml:space="preserve"> zamieszkała w Rosji lub</w:t>
            </w:r>
            <w:r w:rsidRPr="00483D8B">
              <w:rPr>
                <w:rFonts w:cstheme="minorHAnsi"/>
              </w:rPr>
              <w:t xml:space="preserve"> osoba prawna, podmiot lub organ z siedzibą w Rosji</w:t>
            </w:r>
            <w:r w:rsidR="00A02733" w:rsidRPr="00483D8B">
              <w:rPr>
                <w:rFonts w:cstheme="minorHAnsi"/>
              </w:rPr>
              <w:t>,</w:t>
            </w:r>
          </w:p>
          <w:p w14:paraId="286B683A" w14:textId="08BF7CA1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osoba prawna, podmiot lub organ, do której/którego prawa własności bezpośrednio lub pośrednio w ponad 50 % należą do </w:t>
            </w:r>
            <w:r w:rsidR="00502BB2" w:rsidRPr="00483D8B">
              <w:rPr>
                <w:rFonts w:cstheme="minorHAnsi"/>
              </w:rPr>
              <w:t xml:space="preserve">osoby fizycznej lub prawnej, </w:t>
            </w:r>
            <w:r w:rsidRPr="00483D8B">
              <w:rPr>
                <w:rFonts w:cstheme="minorHAnsi"/>
              </w:rPr>
              <w:t>podmiotu</w:t>
            </w:r>
            <w:r w:rsidR="00502BB2" w:rsidRPr="00483D8B">
              <w:rPr>
                <w:rFonts w:cstheme="minorHAnsi"/>
              </w:rPr>
              <w:t xml:space="preserve"> lub organ</w:t>
            </w:r>
            <w:r w:rsidR="00EB09DF" w:rsidRPr="00483D8B">
              <w:rPr>
                <w:rFonts w:cstheme="minorHAnsi"/>
              </w:rPr>
              <w:t>u</w:t>
            </w:r>
            <w:r w:rsidRPr="00483D8B">
              <w:rPr>
                <w:rFonts w:cstheme="minorHAnsi"/>
              </w:rPr>
              <w:t>, o którym/których mowa w </w:t>
            </w:r>
            <w:proofErr w:type="spellStart"/>
            <w:r w:rsidRPr="00483D8B">
              <w:rPr>
                <w:rFonts w:cstheme="minorHAnsi"/>
              </w:rPr>
              <w:t>ppkt</w:t>
            </w:r>
            <w:proofErr w:type="spellEnd"/>
            <w:r w:rsidRPr="00483D8B">
              <w:rPr>
                <w:rFonts w:cstheme="minorHAnsi"/>
              </w:rPr>
              <w:t xml:space="preserve"> (i)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,</w:t>
            </w:r>
          </w:p>
          <w:p w14:paraId="3B8A419A" w14:textId="07E6B740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osoba fizyczna lub prawna, podmiot lub organ działająca/y w imieniu lub pod kierunkiem </w:t>
            </w:r>
            <w:r w:rsidR="00EB09DF" w:rsidRPr="00483D8B">
              <w:rPr>
                <w:rFonts w:cstheme="minorHAnsi"/>
              </w:rPr>
              <w:t xml:space="preserve">osoby fizycznej lub prawnej </w:t>
            </w:r>
            <w:r w:rsidRPr="00483D8B">
              <w:rPr>
                <w:rFonts w:cstheme="minorHAnsi"/>
              </w:rPr>
              <w:t xml:space="preserve">podmiotu lub </w:t>
            </w:r>
            <w:r w:rsidR="00EB09DF" w:rsidRPr="00483D8B">
              <w:rPr>
                <w:rFonts w:cstheme="minorHAnsi"/>
              </w:rPr>
              <w:t>organu</w:t>
            </w:r>
            <w:r w:rsidRPr="00483D8B">
              <w:rPr>
                <w:rFonts w:cstheme="minorHAnsi"/>
              </w:rPr>
              <w:t>,</w:t>
            </w:r>
            <w:r w:rsidR="00EB09DF" w:rsidRPr="00483D8B">
              <w:rPr>
                <w:rFonts w:cstheme="minorHAnsi"/>
              </w:rPr>
              <w:br/>
            </w:r>
            <w:r w:rsidRPr="00483D8B">
              <w:rPr>
                <w:rFonts w:cstheme="minorHAnsi"/>
              </w:rPr>
              <w:t xml:space="preserve">o którym/których mowa w </w:t>
            </w:r>
            <w:proofErr w:type="spellStart"/>
            <w:r w:rsidRPr="00483D8B">
              <w:rPr>
                <w:rFonts w:cstheme="minorHAnsi"/>
              </w:rPr>
              <w:t>ppkt</w:t>
            </w:r>
            <w:proofErr w:type="spellEnd"/>
            <w:r w:rsidRPr="00483D8B">
              <w:rPr>
                <w:rFonts w:cstheme="minorHAnsi"/>
              </w:rPr>
              <w:t xml:space="preserve"> (i) lub (ii)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;</w:t>
            </w:r>
          </w:p>
          <w:p w14:paraId="42038431" w14:textId="1EFA05DB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 wymieniony w którymkolwiek z wykazów określonych w Rozporządzeniu 765/2006</w:t>
            </w:r>
            <w:r w:rsidR="00A02733" w:rsidRPr="00483D8B">
              <w:rPr>
                <w:rFonts w:cstheme="minorHAnsi"/>
              </w:rPr>
              <w:t>;</w:t>
            </w:r>
          </w:p>
          <w:p w14:paraId="1BF31E13" w14:textId="60851B3B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 wymieniony w którymkolwiek z wykazów określonych w Rozporządzeniu 269/2014</w:t>
            </w:r>
            <w:r w:rsidR="00A02733" w:rsidRPr="00483D8B">
              <w:rPr>
                <w:rFonts w:cstheme="minorHAnsi"/>
              </w:rPr>
              <w:t>;</w:t>
            </w:r>
          </w:p>
          <w:p w14:paraId="58D58350" w14:textId="60252744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lastRenderedPageBreak/>
              <w:t xml:space="preserve">podmiot wpisany na listę, o której mowa w art. 2 ust. 1 </w:t>
            </w:r>
            <w:r w:rsidR="00B458A2" w:rsidRPr="00483D8B">
              <w:rPr>
                <w:rFonts w:cstheme="minorHAnsi"/>
              </w:rPr>
              <w:t xml:space="preserve">Ustawy o przeciwdziałaniu </w:t>
            </w:r>
            <w:r w:rsidRPr="00483D8B">
              <w:rPr>
                <w:rFonts w:cstheme="minorHAnsi"/>
              </w:rPr>
              <w:t xml:space="preserve">na podstawie decyzji w sprawie wpisu na tę listę rozstrzygającej o zastosowaniu środka, o którym mowa w art. 1 pkt 3 </w:t>
            </w:r>
            <w:r w:rsidR="00B458A2" w:rsidRPr="00483D8B">
              <w:rPr>
                <w:rFonts w:cstheme="minorHAnsi"/>
              </w:rPr>
              <w:t>Ustawy o przeciwdziałaniu</w:t>
            </w:r>
            <w:r w:rsidR="00A02733" w:rsidRPr="00483D8B">
              <w:rPr>
                <w:rFonts w:cstheme="minorHAnsi"/>
              </w:rPr>
              <w:t>;</w:t>
            </w:r>
          </w:p>
          <w:p w14:paraId="121B67B0" w14:textId="4955E76C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którego beneficjentem rzeczywistym w rozumieniu ustawy z dnia 1 marca 2018 r. o przeciwdziałaniu praniu pieniędzy oraz finansowaniu terroryzmu</w:t>
            </w:r>
            <w:r w:rsidR="006334D1" w:rsidRPr="00483D8B">
              <w:rPr>
                <w:rFonts w:cstheme="minorHAnsi"/>
              </w:rPr>
              <w:t xml:space="preserve"> (</w:t>
            </w:r>
            <w:proofErr w:type="spellStart"/>
            <w:r w:rsidR="008A1E8F" w:rsidRPr="00483D8B">
              <w:rPr>
                <w:rFonts w:cstheme="minorHAnsi"/>
              </w:rPr>
              <w:t>t.j</w:t>
            </w:r>
            <w:proofErr w:type="spellEnd"/>
            <w:r w:rsidR="008A1E8F" w:rsidRPr="00483D8B">
              <w:rPr>
                <w:rFonts w:cstheme="minorHAnsi"/>
              </w:rPr>
              <w:t xml:space="preserve">. </w:t>
            </w:r>
            <w:r w:rsidR="006334D1" w:rsidRPr="00483D8B">
              <w:rPr>
                <w:rFonts w:cstheme="minorHAnsi"/>
              </w:rPr>
              <w:t xml:space="preserve">Dz. U. z 2022 r. poz. 593 z </w:t>
            </w:r>
            <w:proofErr w:type="spellStart"/>
            <w:r w:rsidR="006334D1" w:rsidRPr="00483D8B">
              <w:rPr>
                <w:rFonts w:cstheme="minorHAnsi"/>
              </w:rPr>
              <w:t>późn</w:t>
            </w:r>
            <w:proofErr w:type="spellEnd"/>
            <w:r w:rsidR="006334D1" w:rsidRPr="00483D8B">
              <w:rPr>
                <w:rFonts w:cstheme="minorHAnsi"/>
              </w:rPr>
              <w:t>. zm.)</w:t>
            </w:r>
            <w:r w:rsidRPr="00483D8B">
              <w:rPr>
                <w:rFonts w:cstheme="minorHAnsi"/>
              </w:rPr>
              <w:t xml:space="preserve"> jest, lub po 23 lutego 2022 r. był, podmiot, o którym mowa w lit. </w:t>
            </w:r>
            <w:r w:rsidR="00A55FDE" w:rsidRPr="00483D8B">
              <w:rPr>
                <w:rFonts w:cstheme="minorHAnsi"/>
              </w:rPr>
              <w:t xml:space="preserve">a, </w:t>
            </w:r>
            <w:r w:rsidRPr="00483D8B">
              <w:rPr>
                <w:rFonts w:cstheme="minorHAnsi"/>
              </w:rPr>
              <w:t xml:space="preserve">b, c lub d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;</w:t>
            </w:r>
          </w:p>
          <w:p w14:paraId="40657353" w14:textId="42470A5D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którego jednostką dominującą w rozumieniu art. 3 ust. 1 pkt 37 ustawy z dnia 29 września 1994 r. o rachunkowości</w:t>
            </w:r>
            <w:r w:rsidR="003D3E7A" w:rsidRPr="00483D8B">
              <w:rPr>
                <w:rFonts w:cstheme="minorHAnsi"/>
              </w:rPr>
              <w:t xml:space="preserve"> (</w:t>
            </w:r>
            <w:proofErr w:type="spellStart"/>
            <w:r w:rsidR="003D3E7A" w:rsidRPr="00483D8B">
              <w:rPr>
                <w:rFonts w:cstheme="minorHAnsi"/>
              </w:rPr>
              <w:t>t.j</w:t>
            </w:r>
            <w:proofErr w:type="spellEnd"/>
            <w:r w:rsidR="003D3E7A" w:rsidRPr="00483D8B">
              <w:rPr>
                <w:rFonts w:cstheme="minorHAnsi"/>
              </w:rPr>
              <w:t xml:space="preserve">. Dz. U. z 2021 r. poz. 217 z </w:t>
            </w:r>
            <w:proofErr w:type="spellStart"/>
            <w:r w:rsidR="003D3E7A" w:rsidRPr="00483D8B">
              <w:rPr>
                <w:rFonts w:cstheme="minorHAnsi"/>
              </w:rPr>
              <w:t>późn</w:t>
            </w:r>
            <w:proofErr w:type="spellEnd"/>
            <w:r w:rsidR="003D3E7A" w:rsidRPr="00483D8B">
              <w:rPr>
                <w:rFonts w:cstheme="minorHAnsi"/>
              </w:rPr>
              <w:t>. zm.)</w:t>
            </w:r>
            <w:r w:rsidRPr="00483D8B">
              <w:rPr>
                <w:rFonts w:cstheme="minorHAnsi"/>
              </w:rPr>
              <w:t>, jest lub po 23 lutego 2022 r. był, podmiot, o którym mowa w lit.</w:t>
            </w:r>
            <w:r w:rsidR="00A55FDE" w:rsidRPr="00483D8B">
              <w:rPr>
                <w:rFonts w:cstheme="minorHAnsi"/>
              </w:rPr>
              <w:t xml:space="preserve"> a,</w:t>
            </w:r>
            <w:r w:rsidRPr="00483D8B">
              <w:rPr>
                <w:rFonts w:cstheme="minorHAnsi"/>
              </w:rPr>
              <w:t xml:space="preserve"> b, c lub d </w:t>
            </w:r>
            <w:r w:rsidR="001D47E6" w:rsidRPr="00483D8B">
              <w:rPr>
                <w:rFonts w:cstheme="minorHAnsi"/>
              </w:rPr>
              <w:t>powyżej</w:t>
            </w:r>
            <w:r w:rsidR="0069640F" w:rsidRPr="00483D8B">
              <w:rPr>
                <w:rFonts w:cstheme="minorHAnsi"/>
              </w:rPr>
              <w:t>;</w:t>
            </w:r>
          </w:p>
          <w:p w14:paraId="738242EA" w14:textId="0B1D3B10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inny podmiot objęty, na podstawie przepisów prawa obowiązującego w</w:t>
            </w:r>
            <w:r w:rsidR="003C639A" w:rsidRPr="00483D8B">
              <w:rPr>
                <w:rFonts w:cstheme="minorHAnsi"/>
              </w:rPr>
              <w:t xml:space="preserve"> </w:t>
            </w:r>
            <w:r w:rsidRPr="00483D8B">
              <w:rPr>
                <w:rFonts w:cstheme="minorHAnsi"/>
              </w:rPr>
              <w:t>Rzeczypospolitej Polskiej, sankcjami wyłączającymi lub ograniczającymi możliwość zawarcia z nim lub realizacji z nim lub z jego udziałem Umowy;</w:t>
            </w:r>
          </w:p>
        </w:tc>
      </w:tr>
      <w:tr w:rsidR="00483D8B" w:rsidRPr="00483D8B" w14:paraId="03B342F4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9916E6" w14:textId="63C3A682" w:rsidR="00B10C86" w:rsidRPr="00483D8B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3526C9" w14:textId="77777777" w:rsidR="00B10C86" w:rsidRPr="00483D8B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</w:t>
            </w:r>
            <w:r w:rsidR="00864D13" w:rsidRPr="00483D8B">
              <w:rPr>
                <w:rFonts w:cstheme="minorHAnsi"/>
              </w:rPr>
              <w:t xml:space="preserve">(Dz. U. UE. L. z 2014 r. Nr 78, str. 6 z </w:t>
            </w:r>
            <w:proofErr w:type="spellStart"/>
            <w:r w:rsidR="00864D13" w:rsidRPr="00483D8B">
              <w:rPr>
                <w:rFonts w:cstheme="minorHAnsi"/>
              </w:rPr>
              <w:t>późn</w:t>
            </w:r>
            <w:proofErr w:type="spellEnd"/>
            <w:r w:rsidR="00864D13" w:rsidRPr="00483D8B">
              <w:rPr>
                <w:rFonts w:cstheme="minorHAnsi"/>
              </w:rPr>
              <w:t>. zm.)</w:t>
            </w:r>
            <w:r w:rsidRPr="00483D8B">
              <w:rPr>
                <w:rFonts w:cstheme="minorHAnsi"/>
              </w:rPr>
              <w:t>;</w:t>
            </w:r>
          </w:p>
          <w:p w14:paraId="25107708" w14:textId="267218FB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00D4A08D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2E91F8A" w14:textId="77777777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Rozporządzenie 765/2006</w:t>
            </w:r>
          </w:p>
          <w:p w14:paraId="13400A68" w14:textId="6454C3D1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686669E" w14:textId="7A61C679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="00257D03" w:rsidRPr="00483D8B">
              <w:rPr>
                <w:rFonts w:eastAsiaTheme="minorHAnsi" w:cstheme="minorHAnsi"/>
                <w:shd w:val="clear" w:color="auto" w:fill="FFFFFF"/>
                <w:lang w:eastAsia="en-US"/>
              </w:rPr>
              <w:t xml:space="preserve"> </w:t>
            </w:r>
            <w:r w:rsidR="00257D03" w:rsidRPr="00483D8B">
              <w:rPr>
                <w:rFonts w:cstheme="minorHAnsi"/>
              </w:rPr>
              <w:t>(Dz. U. UE. L.</w:t>
            </w:r>
            <w:r w:rsidR="00502BB2" w:rsidRPr="00483D8B">
              <w:rPr>
                <w:rFonts w:cstheme="minorHAnsi"/>
              </w:rPr>
              <w:br/>
            </w:r>
            <w:r w:rsidR="00257D03" w:rsidRPr="00483D8B">
              <w:rPr>
                <w:rFonts w:cstheme="minorHAnsi"/>
              </w:rPr>
              <w:t xml:space="preserve">z 2006 r. Nr 134, str. 1 z </w:t>
            </w:r>
            <w:proofErr w:type="spellStart"/>
            <w:r w:rsidR="00257D03" w:rsidRPr="00483D8B">
              <w:rPr>
                <w:rFonts w:cstheme="minorHAnsi"/>
              </w:rPr>
              <w:t>późn</w:t>
            </w:r>
            <w:proofErr w:type="spellEnd"/>
            <w:r w:rsidR="00257D03" w:rsidRPr="00483D8B">
              <w:rPr>
                <w:rFonts w:cstheme="minorHAnsi"/>
              </w:rPr>
              <w:t>. zm.)</w:t>
            </w:r>
            <w:r w:rsidRPr="00483D8B">
              <w:rPr>
                <w:rFonts w:cstheme="minorHAnsi"/>
              </w:rPr>
              <w:t>;</w:t>
            </w:r>
          </w:p>
          <w:p w14:paraId="1ADBE45E" w14:textId="4C1D9914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6776B28F" w14:textId="77777777" w:rsidTr="00D2273F">
        <w:trPr>
          <w:trHeight w:val="48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6A62683" w14:textId="3F29FE68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Rozporządzenie 833/2014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1C10A4D" w14:textId="54FC2D00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Rozporządzenie </w:t>
            </w:r>
            <w:r w:rsidR="00502BB2" w:rsidRPr="00483D8B">
              <w:t>Rady (UE) nr 833/2014 z dnia 31 lipca 2014 r. dotyczące środków ograniczających w związku z działaniami Rosji destabilizującymi sytuację na Ukrainie (Dz. Urz. UE nr L 229</w:t>
            </w:r>
            <w:r w:rsidR="00502BB2" w:rsidRPr="00483D8B">
              <w:br/>
              <w:t>z 31.7.2014, str. 1), w brzmieniu nadanym rozporządzeniem Rady (UE) 2022/576 w sprawie zmiany rozporządzenia (UE) nr 833/2014 dotyczącego środków ograniczających w związku z działaniami Rosji destabilizującymi sytuację na Ukrainie (Dz. Urz. UE nr L 111</w:t>
            </w:r>
            <w:r w:rsidR="00502BB2" w:rsidRPr="00483D8B">
              <w:br/>
              <w:t>z 8.4.2022), zaktualizowanym rozporządzeniem Rady (UE) 2025/2033 (Dz.U. L, 2025/2033 z 23.10.2025);</w:t>
            </w:r>
          </w:p>
          <w:p w14:paraId="0F205C04" w14:textId="0D1B776B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17CC2704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FACFF20" w14:textId="2AD6119C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 xml:space="preserve">Ustawa </w:t>
            </w:r>
            <w:r w:rsidR="00D302C4" w:rsidRPr="00483D8B">
              <w:rPr>
                <w:rFonts w:cstheme="minorHAnsi"/>
                <w:b/>
                <w:bCs/>
              </w:rPr>
              <w:br/>
            </w:r>
            <w:r w:rsidRPr="00483D8B">
              <w:rPr>
                <w:rFonts w:cstheme="minorHAnsi"/>
                <w:b/>
                <w:bCs/>
              </w:rPr>
              <w:t>o przeciwdziałaniu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AC44D09" w14:textId="366737F9" w:rsidR="00D2273F" w:rsidRPr="00483D8B" w:rsidRDefault="00D2273F" w:rsidP="005E0113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ustawa z dnia z dnia 13 kwietnia 2022 r. o szczególnych rozwiązaniach w zakresie przeciwdziałania wspieraniu agresji na </w:t>
            </w:r>
            <w:r w:rsidRPr="00483D8B">
              <w:rPr>
                <w:rFonts w:cstheme="minorHAnsi"/>
              </w:rPr>
              <w:lastRenderedPageBreak/>
              <w:t xml:space="preserve">Ukrainę oraz służących ochronie bezpieczeństwa narodowego </w:t>
            </w:r>
            <w:r w:rsidR="00EF20FF" w:rsidRPr="00483D8B">
              <w:rPr>
                <w:rFonts w:cstheme="minorHAnsi"/>
              </w:rPr>
              <w:t>(Dz. U. poz. 835</w:t>
            </w:r>
            <w:r w:rsidR="005E0113" w:rsidRPr="00483D8B">
              <w:t xml:space="preserve"> </w:t>
            </w:r>
            <w:r w:rsidR="005E0113" w:rsidRPr="00483D8B">
              <w:rPr>
                <w:rFonts w:cstheme="minorHAnsi"/>
              </w:rPr>
              <w:t xml:space="preserve">z </w:t>
            </w:r>
            <w:proofErr w:type="spellStart"/>
            <w:r w:rsidR="005E0113" w:rsidRPr="00483D8B">
              <w:rPr>
                <w:rFonts w:cstheme="minorHAnsi"/>
              </w:rPr>
              <w:t>późn</w:t>
            </w:r>
            <w:proofErr w:type="spellEnd"/>
            <w:r w:rsidR="005E0113" w:rsidRPr="00483D8B">
              <w:rPr>
                <w:rFonts w:cstheme="minorHAnsi"/>
              </w:rPr>
              <w:t>. zm.</w:t>
            </w:r>
            <w:r w:rsidR="00EF20FF" w:rsidRPr="00483D8B">
              <w:rPr>
                <w:rFonts w:cstheme="minorHAnsi"/>
              </w:rPr>
              <w:t>)</w:t>
            </w:r>
            <w:r w:rsidR="00B458A2" w:rsidRPr="00483D8B">
              <w:rPr>
                <w:rFonts w:cstheme="minorHAnsi"/>
              </w:rPr>
              <w:t>;</w:t>
            </w:r>
          </w:p>
        </w:tc>
      </w:tr>
    </w:tbl>
    <w:p w14:paraId="6ECEBA38" w14:textId="341C4E8A" w:rsidR="00F422BF" w:rsidRPr="00483D8B" w:rsidRDefault="00F422BF" w:rsidP="00A55FDE">
      <w:pPr>
        <w:spacing w:line="276" w:lineRule="auto"/>
        <w:rPr>
          <w:rFonts w:cstheme="minorHAnsi"/>
        </w:rPr>
      </w:pPr>
    </w:p>
    <w:p w14:paraId="3CFDE697" w14:textId="7383FC41" w:rsidR="00B458A2" w:rsidRPr="00483D8B" w:rsidRDefault="00B458A2" w:rsidP="00A55FDE">
      <w:pPr>
        <w:spacing w:line="276" w:lineRule="auto"/>
        <w:rPr>
          <w:rFonts w:cstheme="minorHAnsi"/>
        </w:rPr>
      </w:pPr>
    </w:p>
    <w:p w14:paraId="29713BCE" w14:textId="31827145" w:rsidR="00F7473C" w:rsidRPr="00483D8B" w:rsidRDefault="00F7473C">
      <w:pPr>
        <w:rPr>
          <w:rFonts w:cstheme="minorHAnsi"/>
        </w:rPr>
      </w:pPr>
      <w:r w:rsidRPr="00483D8B">
        <w:rPr>
          <w:rFonts w:cstheme="minorHAnsi"/>
        </w:rPr>
        <w:br w:type="page"/>
      </w:r>
    </w:p>
    <w:p w14:paraId="40729C60" w14:textId="2DF9401F" w:rsidR="00B458A2" w:rsidRPr="009D5AE9" w:rsidRDefault="0000529C" w:rsidP="002B223B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9D5AE9">
        <w:rPr>
          <w:rFonts w:cstheme="minorHAnsi"/>
        </w:rPr>
        <w:lastRenderedPageBreak/>
        <w:t>Celem</w:t>
      </w:r>
      <w:r w:rsidR="002B223B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 postanowień</w:t>
      </w:r>
      <w:r w:rsidR="00B458A2" w:rsidRPr="009D5AE9">
        <w:rPr>
          <w:rFonts w:cstheme="minorHAnsi"/>
        </w:rPr>
        <w:t xml:space="preserve"> niniejszego </w:t>
      </w:r>
      <w:r w:rsidR="002B223B">
        <w:rPr>
          <w:rFonts w:cstheme="minorHAnsi"/>
        </w:rPr>
        <w:t>załącznika</w:t>
      </w:r>
      <w:r w:rsidR="002B223B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>jest</w:t>
      </w:r>
      <w:r w:rsidR="00B458A2" w:rsidRPr="009D5AE9">
        <w:rPr>
          <w:rFonts w:cstheme="minorHAnsi"/>
        </w:rPr>
        <w:t xml:space="preserve"> nie</w:t>
      </w:r>
      <w:r w:rsidR="00BF5B76" w:rsidRPr="009D5AE9">
        <w:rPr>
          <w:rFonts w:cstheme="minorHAnsi"/>
        </w:rPr>
        <w:t>dopuszczenie, by w wykonywaniu u</w:t>
      </w:r>
      <w:r w:rsidR="00B458A2" w:rsidRPr="009D5AE9">
        <w:rPr>
          <w:rFonts w:cstheme="minorHAnsi"/>
        </w:rPr>
        <w:t xml:space="preserve">mowy brały udział Podmioty Objęte Sankcjami.   </w:t>
      </w:r>
    </w:p>
    <w:p w14:paraId="07E5EB57" w14:textId="1B96C741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</w:t>
      </w:r>
      <w:r w:rsidR="005D0239" w:rsidRPr="009D5AE9">
        <w:rPr>
          <w:rFonts w:cstheme="minorHAnsi"/>
        </w:rPr>
        <w:t xml:space="preserve"> niniejszym</w:t>
      </w:r>
      <w:r w:rsidRPr="009D5AE9">
        <w:rPr>
          <w:rFonts w:cstheme="minorHAnsi"/>
        </w:rPr>
        <w:t xml:space="preserve"> o</w:t>
      </w:r>
      <w:r w:rsidR="00BF5B76" w:rsidRPr="009D5AE9">
        <w:rPr>
          <w:rFonts w:cstheme="minorHAnsi"/>
        </w:rPr>
        <w:t>świadcza, że na dzień zawarcia u</w:t>
      </w:r>
      <w:r w:rsidRPr="009D5AE9">
        <w:rPr>
          <w:rFonts w:cstheme="minorHAnsi"/>
        </w:rPr>
        <w:t>mowy:</w:t>
      </w:r>
    </w:p>
    <w:p w14:paraId="1A8221A1" w14:textId="63B91BA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 jest Podmiotem Objętym Sankcjami</w:t>
      </w:r>
      <w:r w:rsidR="0090103F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oraz</w:t>
      </w:r>
    </w:p>
    <w:p w14:paraId="0D50D9BC" w14:textId="0229C2A8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przekracza kwoty odpowiadającej 10% </w:t>
      </w:r>
      <w:r w:rsidR="00EA12D7" w:rsidRPr="009D5AE9">
        <w:rPr>
          <w:rFonts w:cstheme="minorHAnsi"/>
        </w:rPr>
        <w:t>wartości zamówieni</w:t>
      </w:r>
      <w:r w:rsidR="001D47E6" w:rsidRPr="009D5AE9">
        <w:rPr>
          <w:rFonts w:cstheme="minorHAnsi"/>
        </w:rPr>
        <w:t>a</w:t>
      </w:r>
      <w:r w:rsidR="00EA12D7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maksymalnej wartości wynagrodzenia, jakie może być </w:t>
      </w:r>
      <w:r w:rsidR="00BF5B76" w:rsidRPr="009D5AE9">
        <w:rPr>
          <w:rFonts w:cstheme="minorHAnsi"/>
        </w:rPr>
        <w:t>należne Wykonawcy na podstawie u</w:t>
      </w:r>
      <w:r w:rsidRPr="009D5AE9">
        <w:rPr>
          <w:rFonts w:cstheme="minorHAnsi"/>
        </w:rPr>
        <w:t>mowy (</w:t>
      </w:r>
      <w:r w:rsidR="00720194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720194" w:rsidRPr="009D5AE9">
        <w:rPr>
          <w:rFonts w:cstheme="minorHAnsi"/>
        </w:rPr>
        <w:t xml:space="preserve">mowy, </w:t>
      </w:r>
      <w:r w:rsidR="00164C75" w:rsidRPr="009D5AE9">
        <w:rPr>
          <w:rFonts w:cstheme="minorHAnsi"/>
        </w:rPr>
        <w:t>w tym zmiany</w:t>
      </w:r>
      <w:r w:rsidRPr="009D5AE9">
        <w:rPr>
          <w:rFonts w:cstheme="minorHAnsi"/>
        </w:rPr>
        <w:t xml:space="preserve"> wynagrodzeni</w:t>
      </w:r>
      <w:r w:rsidR="00164C75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za zakresy objęte prawem opcji</w:t>
      </w:r>
      <w:r w:rsidR="00EA12D7" w:rsidRPr="009D5AE9">
        <w:rPr>
          <w:rFonts w:cstheme="minorHAnsi"/>
        </w:rPr>
        <w:t xml:space="preserve"> lub ustalone wskutek procedury zmiany</w:t>
      </w:r>
      <w:r w:rsidRPr="009D5AE9">
        <w:rPr>
          <w:rFonts w:cstheme="minorHAnsi"/>
        </w:rPr>
        <w:t>)</w:t>
      </w:r>
      <w:r w:rsidR="00EA12D7" w:rsidRPr="009D5AE9">
        <w:rPr>
          <w:rFonts w:cstheme="minorHAnsi"/>
        </w:rPr>
        <w:t>, w zależności</w:t>
      </w:r>
      <w:r w:rsidR="001D47E6" w:rsidRPr="009D5AE9">
        <w:rPr>
          <w:rFonts w:cstheme="minorHAnsi"/>
        </w:rPr>
        <w:t xml:space="preserve">, </w:t>
      </w:r>
      <w:r w:rsidR="00EA12D7" w:rsidRPr="009D5AE9">
        <w:rPr>
          <w:rFonts w:cstheme="minorHAnsi"/>
        </w:rPr>
        <w:t>która z tych wartości będzie niższa</w:t>
      </w:r>
      <w:r w:rsidRPr="009D5AE9">
        <w:rPr>
          <w:rFonts w:cstheme="minorHAnsi"/>
        </w:rPr>
        <w:t>,</w:t>
      </w:r>
    </w:p>
    <w:p w14:paraId="4D4A7743" w14:textId="6B5ACD6F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</w:t>
      </w:r>
      <w:r w:rsidR="00BF5B76" w:rsidRPr="009D5AE9">
        <w:rPr>
          <w:rFonts w:cstheme="minorHAnsi"/>
        </w:rPr>
        <w:t xml:space="preserve"> że w całym okresie realizacji u</w:t>
      </w:r>
      <w:r w:rsidRPr="009D5AE9">
        <w:rPr>
          <w:rFonts w:cstheme="minorHAnsi"/>
        </w:rPr>
        <w:t>mowy:</w:t>
      </w:r>
    </w:p>
    <w:p w14:paraId="3CCE3582" w14:textId="77777777" w:rsidR="00B458A2" w:rsidRPr="009D5AE9" w:rsidRDefault="00B458A2">
      <w:pPr>
        <w:pStyle w:val="Akapitzlist"/>
        <w:numPr>
          <w:ilvl w:val="1"/>
          <w:numId w:val="4"/>
        </w:numPr>
        <w:tabs>
          <w:tab w:val="left" w:pos="851"/>
        </w:tabs>
        <w:suppressAutoHyphens/>
        <w:autoSpaceDN w:val="0"/>
        <w:spacing w:before="120" w:after="120"/>
        <w:ind w:left="851" w:hanging="425"/>
        <w:contextualSpacing w:val="0"/>
        <w:jc w:val="both"/>
        <w:textAlignment w:val="baseline"/>
        <w:rPr>
          <w:rFonts w:asciiTheme="minorHAnsi" w:eastAsia="Calibri" w:hAnsiTheme="minorHAnsi" w:cstheme="minorHAnsi"/>
        </w:rPr>
      </w:pPr>
      <w:r w:rsidRPr="009D5AE9">
        <w:rPr>
          <w:rFonts w:asciiTheme="minorHAnsi" w:eastAsia="Calibri" w:hAnsiTheme="minorHAnsi" w:cstheme="minorHAnsi"/>
        </w:rPr>
        <w:t>nie będzie Podmiotem Objętym Sankcjami oraz</w:t>
      </w:r>
    </w:p>
    <w:p w14:paraId="4DE792D8" w14:textId="59575F3B" w:rsidR="00B458A2" w:rsidRPr="009D5AE9" w:rsidRDefault="00B458A2">
      <w:pPr>
        <w:numPr>
          <w:ilvl w:val="1"/>
          <w:numId w:val="4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 (ani świadczeń zrealizowanych przez nie),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przekroczy w całym okresie wykonywania</w:t>
      </w:r>
      <w:r w:rsidRPr="009D5AE9" w:rsidDel="00E82FD6">
        <w:rPr>
          <w:rFonts w:cstheme="minorHAnsi"/>
        </w:rPr>
        <w:t xml:space="preserve">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kwoty odpowiadającej 10% </w:t>
      </w:r>
      <w:r w:rsidR="001F4B96" w:rsidRPr="009D5AE9">
        <w:rPr>
          <w:rFonts w:cstheme="minorHAnsi"/>
        </w:rPr>
        <w:t>wartości zamówienia lub maksymalnej wartości wynagrodzenia, jakie może być na</w:t>
      </w:r>
      <w:r w:rsidR="00BF5B76" w:rsidRPr="009D5AE9">
        <w:rPr>
          <w:rFonts w:cstheme="minorHAnsi"/>
        </w:rPr>
        <w:t>leżne Wykonawcy na podstawie 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47F94169" w14:textId="4073BD1A" w:rsidR="00B458A2" w:rsidRPr="009D5AE9" w:rsidRDefault="004857AB" w:rsidP="00A55FDE">
      <w:pPr>
        <w:pStyle w:val="H7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Cs w:val="22"/>
        </w:rPr>
      </w:pPr>
      <w:r w:rsidRPr="009D5AE9">
        <w:rPr>
          <w:rFonts w:asciiTheme="minorHAnsi" w:hAnsiTheme="minorHAnsi" w:cstheme="minorHAnsi"/>
          <w:szCs w:val="22"/>
        </w:rPr>
        <w:t xml:space="preserve">z wyłączeniem przypadków i w zakresie, w jakim uprzednio wydane zostanie, przewidziane w art. 5k ust. 2 Rozporządzenia 833/2014, zezwolenie na </w:t>
      </w:r>
      <w:r w:rsidR="00BA74C0" w:rsidRPr="009D5AE9">
        <w:rPr>
          <w:rFonts w:asciiTheme="minorHAnsi" w:hAnsiTheme="minorHAnsi" w:cstheme="minorHAnsi"/>
          <w:szCs w:val="22"/>
        </w:rPr>
        <w:t>dalsze</w:t>
      </w:r>
      <w:r w:rsidR="00BF5B76" w:rsidRPr="009D5AE9">
        <w:rPr>
          <w:rFonts w:asciiTheme="minorHAnsi" w:hAnsiTheme="minorHAnsi" w:cstheme="minorHAnsi"/>
          <w:szCs w:val="22"/>
        </w:rPr>
        <w:t xml:space="preserve"> wykonywanie u</w:t>
      </w:r>
      <w:r w:rsidRPr="009D5AE9">
        <w:rPr>
          <w:rFonts w:asciiTheme="minorHAnsi" w:hAnsiTheme="minorHAnsi" w:cstheme="minorHAnsi"/>
          <w:szCs w:val="22"/>
        </w:rPr>
        <w:t xml:space="preserve">mowy pomimo Objęcia Sankcjami Wykonawcy lub jego Podmiotów </w:t>
      </w:r>
      <w:r w:rsidR="00A02733" w:rsidRPr="009D5AE9">
        <w:rPr>
          <w:rFonts w:asciiTheme="minorHAnsi" w:hAnsiTheme="minorHAnsi" w:cstheme="minorHAnsi"/>
          <w:szCs w:val="22"/>
        </w:rPr>
        <w:t>Biorących Udział</w:t>
      </w:r>
      <w:r w:rsidRPr="009D5AE9">
        <w:rPr>
          <w:rFonts w:asciiTheme="minorHAnsi" w:hAnsiTheme="minorHAnsi" w:cstheme="minorHAnsi"/>
          <w:szCs w:val="22"/>
        </w:rPr>
        <w:t>.</w:t>
      </w:r>
    </w:p>
    <w:p w14:paraId="404F23EC" w14:textId="0B7DE240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zapewnia i gwarantuje, że w ramach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ani Wykonawca</w:t>
      </w:r>
      <w:r w:rsidR="004078D9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ani żaden z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393BFE" w:rsidRPr="009D5AE9">
        <w:rPr>
          <w:rFonts w:cstheme="minorHAnsi"/>
        </w:rPr>
        <w:t xml:space="preserve"> oraz zobowiązuje się przestrzegać sankcji gospodarczych nałożonych na Federację Rosyjską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ze Sprzedającym oraz zagwarantować przestrzeganie tych sankcji przez każdy z Podmiotów Biorących Udział</w:t>
      </w:r>
      <w:r w:rsidRPr="009D5AE9">
        <w:rPr>
          <w:rFonts w:cstheme="minorHAnsi"/>
        </w:rPr>
        <w:t>.</w:t>
      </w:r>
    </w:p>
    <w:p w14:paraId="5B1CB01B" w14:textId="75E92694" w:rsidR="00B458A2" w:rsidRPr="009D5AE9" w:rsidRDefault="00B458A2" w:rsidP="00FE5F4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będzie składał pisemne oświadczenia o braku Objęcia Sankcjami dotyczące Wykonawcy oraz jego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, </w:t>
      </w:r>
      <w:r w:rsidR="00A809D1" w:rsidRPr="009D5AE9">
        <w:rPr>
          <w:rFonts w:cstheme="minorHAnsi"/>
        </w:rPr>
        <w:t xml:space="preserve">zgodne </w:t>
      </w:r>
      <w:r w:rsidR="0017666F" w:rsidRPr="009D5AE9">
        <w:rPr>
          <w:rFonts w:cstheme="minorHAnsi"/>
        </w:rPr>
        <w:t>ze wzorem przekazanym przez Zamawiającego</w:t>
      </w:r>
      <w:r w:rsidR="00A809D1" w:rsidRPr="009D5AE9">
        <w:rPr>
          <w:rFonts w:cstheme="minorHAnsi"/>
        </w:rPr>
        <w:t xml:space="preserve"> </w:t>
      </w:r>
      <w:r w:rsidR="00BF5B76" w:rsidRPr="009D5AE9">
        <w:rPr>
          <w:rFonts w:cstheme="minorHAnsi"/>
        </w:rPr>
        <w:t xml:space="preserve"> w trakcie realizacji u</w:t>
      </w:r>
      <w:r w:rsidR="00A809D1" w:rsidRPr="009D5AE9">
        <w:rPr>
          <w:rFonts w:cstheme="minorHAnsi"/>
        </w:rPr>
        <w:t>mowy</w:t>
      </w:r>
      <w:r w:rsidR="000A0026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 bieżąco, wraz z każdą przedkładaną fakturą, </w:t>
      </w:r>
      <w:r w:rsidR="000A0026" w:rsidRPr="009D5AE9">
        <w:rPr>
          <w:rFonts w:cstheme="minorHAnsi"/>
        </w:rPr>
        <w:t xml:space="preserve">a także </w:t>
      </w:r>
      <w:r w:rsidRPr="009D5AE9">
        <w:rPr>
          <w:rFonts w:cstheme="minorHAnsi"/>
        </w:rPr>
        <w:t>niezależnie</w:t>
      </w:r>
      <w:r w:rsidR="000A0026" w:rsidRPr="009D5AE9">
        <w:rPr>
          <w:rFonts w:cstheme="minorHAnsi"/>
        </w:rPr>
        <w:t xml:space="preserve"> na każdorazowe </w:t>
      </w:r>
      <w:r w:rsidRPr="009D5AE9">
        <w:rPr>
          <w:rFonts w:cstheme="minorHAnsi"/>
        </w:rPr>
        <w:t>żądanie Zamawiającego.</w:t>
      </w:r>
      <w:r w:rsidR="00A02733" w:rsidRPr="009D5AE9">
        <w:rPr>
          <w:rFonts w:cstheme="minorHAnsi"/>
        </w:rPr>
        <w:t xml:space="preserve"> Ponadto n</w:t>
      </w:r>
      <w:r w:rsidR="002B4D2F" w:rsidRPr="009D5AE9">
        <w:rPr>
          <w:rFonts w:cstheme="minorHAnsi"/>
        </w:rPr>
        <w:t xml:space="preserve">a żądanie Zamawiającego Wykonawca przedłoży Zamawiającemu, w terminie 14 </w:t>
      </w:r>
      <w:r w:rsidR="009A42FB" w:rsidRPr="009D5AE9">
        <w:rPr>
          <w:rFonts w:cstheme="minorHAnsi"/>
        </w:rPr>
        <w:t xml:space="preserve">(czternastu) </w:t>
      </w:r>
      <w:r w:rsidR="002B4D2F" w:rsidRPr="009D5AE9">
        <w:rPr>
          <w:rFonts w:cstheme="minorHAnsi"/>
        </w:rPr>
        <w:t xml:space="preserve">dni od otrzymania przez </w:t>
      </w:r>
      <w:r w:rsidR="002B4D2F" w:rsidRPr="009D5AE9">
        <w:rPr>
          <w:rFonts w:cstheme="minorHAnsi"/>
        </w:rPr>
        <w:lastRenderedPageBreak/>
        <w:t xml:space="preserve">Wykonawcę żądania Zamawiającego, oświadczenia o braku Objęcia Sankcjami wszystkich lub wskazanych przez Zamawiającego Podmiotów </w:t>
      </w:r>
      <w:r w:rsidR="00A02733" w:rsidRPr="009D5AE9">
        <w:rPr>
          <w:rFonts w:cstheme="minorHAnsi"/>
        </w:rPr>
        <w:t>Biorących Udział</w:t>
      </w:r>
      <w:r w:rsidR="00CA12FF">
        <w:rPr>
          <w:rFonts w:cstheme="minorHAnsi"/>
        </w:rPr>
        <w:t xml:space="preserve"> </w:t>
      </w:r>
      <w:r w:rsidR="0017666F" w:rsidRPr="009D5AE9">
        <w:rPr>
          <w:rFonts w:cstheme="minorHAnsi"/>
        </w:rPr>
        <w:t xml:space="preserve">zgodnie </w:t>
      </w:r>
      <w:r w:rsidR="002B4D2F" w:rsidRPr="009D5AE9">
        <w:rPr>
          <w:rFonts w:cstheme="minorHAnsi"/>
        </w:rPr>
        <w:t xml:space="preserve">ze wzorem przekazanym przez Zamawiającego w trakcie realizacji </w:t>
      </w:r>
      <w:r w:rsidR="00BF5B76" w:rsidRPr="009D5AE9">
        <w:rPr>
          <w:rFonts w:cstheme="minorHAnsi"/>
        </w:rPr>
        <w:t>u</w:t>
      </w:r>
      <w:r w:rsidR="002B4D2F" w:rsidRPr="009D5AE9">
        <w:rPr>
          <w:rFonts w:cstheme="minorHAnsi"/>
        </w:rPr>
        <w:t>mowy.</w:t>
      </w:r>
    </w:p>
    <w:bookmarkEnd w:id="0"/>
    <w:p w14:paraId="5152E1DA" w14:textId="4B73578E" w:rsidR="00D63556" w:rsidRPr="009D5AE9" w:rsidRDefault="00D63556" w:rsidP="00D6355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Nieprzedłożenie któregokolwiek z oświadczeń, o których mowa w ust. 5 powoduje</w:t>
      </w:r>
      <w:r w:rsidR="00FE5F46" w:rsidRPr="009D5AE9">
        <w:rPr>
          <w:rFonts w:cstheme="minorHAnsi"/>
        </w:rPr>
        <w:t xml:space="preserve"> zamrożenie </w:t>
      </w:r>
      <w:r w:rsidRPr="009D5AE9">
        <w:rPr>
          <w:rFonts w:cstheme="minorHAnsi"/>
        </w:rPr>
        <w:t>środków finansowych z tytułu płatności i wstrzymanie płatności faktury (termin płatności należności objętej fakturą nie biegnie i należność objęta fakturą nie staje się wymagalna). Termin zapłaty należności objętej fakturą biegnie dopiero od momentu akceptacji przez  Zamawiającego wszystkich dokumentów wymaganych umową, w tym oświadczeń, o których mowa w ust. 5.</w:t>
      </w:r>
    </w:p>
    <w:p w14:paraId="7BDC5A88" w14:textId="5866AE69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 że zawiadomi Zamawiającego, w sposób określony w ust. 8, o każdej zmianie stanu rzeczy co do którego Wykonawca złożył oświadczenie, o którym mowa w ust. 2, a w szczególności, że zawiadomi Zamawiającego, jeżeli</w:t>
      </w:r>
      <w:r w:rsidR="00007C64" w:rsidRPr="009D5AE9">
        <w:rPr>
          <w:rFonts w:cstheme="minorHAnsi"/>
        </w:rPr>
        <w:t>:</w:t>
      </w:r>
    </w:p>
    <w:p w14:paraId="4F8A079F" w14:textId="4BF8805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stanie się Podmiotem Objętym Sankcjami</w:t>
      </w:r>
      <w:r w:rsidR="00007C64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lub</w:t>
      </w:r>
    </w:p>
    <w:p w14:paraId="7D532E1B" w14:textId="28DF767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.</w:t>
      </w:r>
    </w:p>
    <w:p w14:paraId="7B1CCFB8" w14:textId="41C8B7F7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dokona zawiadomienia, o którym mowa w ust. 7, w formie pisemnej, w terminie 3 </w:t>
      </w:r>
      <w:r w:rsidR="001D3CF9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Wykonawca dowiedział się lub, przy dołożeniu </w:t>
      </w:r>
      <w:r w:rsidR="00EB1CB8" w:rsidRPr="009D5AE9">
        <w:rPr>
          <w:rFonts w:cstheme="minorHAnsi"/>
        </w:rPr>
        <w:t>najwyższej</w:t>
      </w:r>
      <w:r w:rsidRPr="009D5AE9">
        <w:rPr>
          <w:rFonts w:cstheme="minorHAnsi"/>
        </w:rPr>
        <w:t xml:space="preserve"> staranności, powinien dowiedzieć się o zaistnieniu podstaw do dokonania zawiadomienia.</w:t>
      </w:r>
    </w:p>
    <w:p w14:paraId="1B59C73F" w14:textId="763DDA4B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celu realizacji obowiązku, o którym mowa w ust. 7 Wykonawca zapewni w szczególności, że każdy z jego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zawiadomi Wykonawcę, w formie pisemnej, o:</w:t>
      </w:r>
    </w:p>
    <w:p w14:paraId="5E3D8A09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powstaniu stanu Objęcia go Sankcjami, jak również o</w:t>
      </w:r>
    </w:p>
    <w:p w14:paraId="79E5666A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samym wystąpieniu ryzyka powstania takiej sytuacji,</w:t>
      </w:r>
    </w:p>
    <w:p w14:paraId="7096E6F8" w14:textId="01B312B6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niezwłocznie, jednak nie później niż w terminie 3 </w:t>
      </w:r>
      <w:r w:rsidR="00E3189B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taki Podmiot </w:t>
      </w:r>
      <w:r w:rsidR="00A02733" w:rsidRPr="009D5AE9">
        <w:rPr>
          <w:rFonts w:cstheme="minorHAnsi"/>
        </w:rPr>
        <w:t xml:space="preserve">Biorący Udział </w:t>
      </w:r>
      <w:r w:rsidRPr="009D5AE9">
        <w:rPr>
          <w:rFonts w:cstheme="minorHAnsi"/>
        </w:rPr>
        <w:t xml:space="preserve">dowiedział się lub, przy dołożeniu należytej staranności, powinien dowiedzieć się o jego zaistnieniu lub wystąpieniu ryzyka powstania takiej sytuacji. </w:t>
      </w:r>
    </w:p>
    <w:p w14:paraId="682798AD" w14:textId="77777777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przypadku, gdy:</w:t>
      </w:r>
    </w:p>
    <w:p w14:paraId="521903EE" w14:textId="77777777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Podmiotem Objętym Sankcjami, </w:t>
      </w:r>
    </w:p>
    <w:p w14:paraId="24B8AE8F" w14:textId="6C492E4F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przekroczy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niższa,</w:t>
      </w:r>
      <w:r w:rsidRPr="009D5AE9">
        <w:rPr>
          <w:rFonts w:cstheme="minorHAnsi"/>
        </w:rPr>
        <w:t xml:space="preserve"> lub</w:t>
      </w:r>
    </w:p>
    <w:p w14:paraId="5C0D6968" w14:textId="3DEC5B85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 xml:space="preserve">doszło do naruszenia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4,</w:t>
      </w:r>
    </w:p>
    <w:p w14:paraId="0991A33C" w14:textId="2F7FC2ED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a Wykonawca zawiadomi o tym fakcie Zamawiającego, Zamawiający może oświadczyć Wykonawcy o 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 nieprzekraczający </w:t>
      </w:r>
      <w:r w:rsidR="006A6067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6A6067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miesięcy, jednocześnie wzywając Wykonawcę do doprowadzenia do zmiany tych okoliczności lub określając zasady wystąpienia o uzyskanie przewidzianego w art. 5k ust. 2 Rozporządzenia 833/2014 zezwolenia na dalsze wykonywanie zamówienia. Wykonawca ma obowiązek zawiadomić Zamawiającego o usunięciu okoliczności stanowiących podstawę zawieszenia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bezskutecznego upływu wyznaczonego terminu Zamawiający może skorzystać ze wszystkich praw przewidzianych na mocy </w:t>
      </w:r>
      <w:r w:rsidR="003A5589">
        <w:rPr>
          <w:rFonts w:cstheme="minorHAnsi"/>
        </w:rPr>
        <w:t xml:space="preserve">postanowień </w:t>
      </w:r>
      <w:r w:rsidR="00CA12FF">
        <w:rPr>
          <w:rFonts w:cstheme="minorHAnsi"/>
        </w:rPr>
        <w:t>u</w:t>
      </w:r>
      <w:r w:rsidR="003A5589">
        <w:rPr>
          <w:rFonts w:cstheme="minorHAnsi"/>
        </w:rPr>
        <w:t>mowy oraz niniejszego Załącznika</w:t>
      </w:r>
      <w:r w:rsidRPr="009D5AE9">
        <w:rPr>
          <w:rFonts w:cstheme="minorHAnsi"/>
        </w:rPr>
        <w:t xml:space="preserve">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 naliczenia kar umownych.</w:t>
      </w:r>
    </w:p>
    <w:p w14:paraId="332FF037" w14:textId="03A154CE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przypadku, gdy Zamawiający poweźmie uzasadnione wątpliwości co do tego, czy Wykonawca nie narusza ust. 3 lub 4, Zamawiający może oświadczyć Wykonawcy o 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okres, nieprzekraczający </w:t>
      </w:r>
      <w:r w:rsidR="00D947BD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D947BD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miesięcy. W razie potwierdzenia braku naruszeń, Zamawiający oświadczy o wznowieniu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potwierdzenia naruszeń, Zamawiający może skorzystać ze wszystkich praw przewidzianych na mocy </w:t>
      </w:r>
      <w:r w:rsidR="003A5589">
        <w:rPr>
          <w:rFonts w:cstheme="minorHAnsi"/>
        </w:rPr>
        <w:t xml:space="preserve">postanowień </w:t>
      </w:r>
      <w:r w:rsidR="00CA12FF">
        <w:rPr>
          <w:rFonts w:cstheme="minorHAnsi"/>
        </w:rPr>
        <w:t>u</w:t>
      </w:r>
      <w:r w:rsidR="003A5589">
        <w:rPr>
          <w:rFonts w:cstheme="minorHAnsi"/>
        </w:rPr>
        <w:t>mowy oraz niniejszego Załącznika</w:t>
      </w:r>
      <w:r w:rsidRPr="009D5AE9">
        <w:rPr>
          <w:rFonts w:cstheme="minorHAnsi"/>
        </w:rPr>
        <w:t xml:space="preserve">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 naliczenia kar umownych.</w:t>
      </w:r>
    </w:p>
    <w:p w14:paraId="511F4964" w14:textId="155B46F6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Oświadczenie o zawieszeniu wymaga zachowania formy pisemnej. W okresie zawieszenia Wykonawca ma obowiązek całkowitego wstrzymania realizacji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mowy, za wyjątkiem wykonania czynności niezbędnych dla ochrony interesów Zamawiającego związanych z realizacją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(dokończenie procesów technologicznych, prace zabezpieczające, dokonanie czynności niezbędnych dla dochowania terminów ustawowych lub procesowych itp.).</w:t>
      </w:r>
    </w:p>
    <w:p w14:paraId="384F723F" w14:textId="38A4591E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Zamawiający może odstąpić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w każdym z następujących przypadków</w:t>
      </w:r>
      <w:r w:rsidR="0015703B" w:rsidRPr="009D5AE9">
        <w:rPr>
          <w:rFonts w:cstheme="minorHAnsi"/>
        </w:rPr>
        <w:t>,</w:t>
      </w:r>
      <w:r w:rsidR="001D1AA2" w:rsidRPr="009D5AE9">
        <w:rPr>
          <w:rFonts w:cstheme="minorHAnsi"/>
        </w:rPr>
        <w:t xml:space="preserve"> tj. gdy</w:t>
      </w:r>
      <w:r w:rsidRPr="009D5AE9">
        <w:rPr>
          <w:rFonts w:cstheme="minorHAnsi"/>
        </w:rPr>
        <w:t>:</w:t>
      </w:r>
    </w:p>
    <w:p w14:paraId="5ADEAA76" w14:textId="5F3F18A2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 zawarte w ust. 2</w:t>
      </w:r>
      <w:r w:rsidR="00DB3B90" w:rsidRPr="009D5AE9">
        <w:rPr>
          <w:rFonts w:cstheme="minorHAnsi"/>
        </w:rPr>
        <w:t>, 3 lub 4</w:t>
      </w:r>
      <w:r w:rsidRPr="009D5AE9">
        <w:rPr>
          <w:rFonts w:cstheme="minorHAnsi"/>
        </w:rPr>
        <w:t xml:space="preserve"> lub 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</w:t>
      </w:r>
      <w:r w:rsidR="00D302C4" w:rsidRPr="009D5AE9">
        <w:rPr>
          <w:rFonts w:cstheme="minorHAnsi"/>
        </w:rPr>
        <w:t xml:space="preserve"> lub Podmiotów Biorących Udział,</w:t>
      </w:r>
      <w:r w:rsidRPr="009D5AE9">
        <w:rPr>
          <w:rFonts w:cstheme="minorHAnsi"/>
        </w:rPr>
        <w:t xml:space="preserve"> złożone w myśl ust. 5 okaże się </w:t>
      </w:r>
      <w:r w:rsidR="00C95650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2B3E46F6" w14:textId="4E4DA4EB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jest Podmiotem Objętym Sankcjami lub 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F3519E5" w14:textId="12A0E8B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</w:t>
      </w:r>
      <w:r w:rsidR="00BD31D1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lub</w:t>
      </w:r>
    </w:p>
    <w:p w14:paraId="032F2775" w14:textId="420CF44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nie złoży Zamawiającemu oświadczenia, o którym mowa w ust. 5 i to pomimo ponownego wezwania Wykonawcy do złożenia takiego oświadczenia i wyznaczenia na to dodatkowego terminu nie krótszego niż 3 </w:t>
      </w:r>
      <w:r w:rsidR="00D62188" w:rsidRPr="009D5AE9">
        <w:rPr>
          <w:rFonts w:cstheme="minorHAnsi"/>
        </w:rPr>
        <w:t xml:space="preserve">(trzy)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.</w:t>
      </w:r>
    </w:p>
    <w:p w14:paraId="4836617E" w14:textId="7A307AD8" w:rsidR="00BF5B76" w:rsidRPr="009D5AE9" w:rsidRDefault="00BF5B76" w:rsidP="00BF5B76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PGE</w:t>
      </w:r>
      <w:r w:rsidR="003D589B">
        <w:rPr>
          <w:rFonts w:cstheme="minorHAnsi"/>
        </w:rPr>
        <w:t xml:space="preserve"> Dystrybucja S.A.</w:t>
      </w:r>
      <w:r w:rsidRPr="009D5AE9">
        <w:rPr>
          <w:rFonts w:cstheme="minorHAnsi"/>
        </w:rPr>
        <w:t xml:space="preserve"> może złożyć oświadczenie o odstąpieniu od umowy na tej podstawie w terminie </w:t>
      </w:r>
      <w:r w:rsidR="003D589B">
        <w:rPr>
          <w:rFonts w:cstheme="minorHAnsi"/>
          <w:color w:val="000000"/>
        </w:rPr>
        <w:t>3</w:t>
      </w:r>
      <w:r w:rsidR="003D589B" w:rsidRPr="009D5AE9">
        <w:rPr>
          <w:rFonts w:cstheme="minorHAnsi"/>
          <w:color w:val="000000"/>
        </w:rPr>
        <w:t xml:space="preserve"> </w:t>
      </w:r>
      <w:r w:rsidRPr="009D5AE9">
        <w:rPr>
          <w:rFonts w:cstheme="minorHAnsi"/>
        </w:rPr>
        <w:t xml:space="preserve">miesięcy od powzięcia wiadomości o okoliczności stanowiącej podstawę odstąpienia, nie później jednak niż do dnia zakończenia obowiązywania </w:t>
      </w:r>
      <w:r w:rsidR="00404AD4">
        <w:rPr>
          <w:rFonts w:cstheme="minorHAnsi"/>
        </w:rPr>
        <w:t>U</w:t>
      </w:r>
      <w:r w:rsidRPr="009D5AE9">
        <w:rPr>
          <w:rFonts w:cstheme="minorHAnsi"/>
        </w:rPr>
        <w:t>mowy.</w:t>
      </w:r>
    </w:p>
    <w:p w14:paraId="5BF40F05" w14:textId="30E5A296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 xml:space="preserve">Odstępując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ust. 13 Zamawiający może wybrać, czy odstępuje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ze skutkiem </w:t>
      </w:r>
      <w:r w:rsidRPr="009D5AE9">
        <w:rPr>
          <w:rFonts w:cstheme="minorHAnsi"/>
          <w:i/>
        </w:rPr>
        <w:t xml:space="preserve">ex </w:t>
      </w:r>
      <w:proofErr w:type="spellStart"/>
      <w:r w:rsidRPr="009D5AE9">
        <w:rPr>
          <w:rFonts w:cstheme="minorHAnsi"/>
          <w:i/>
        </w:rPr>
        <w:t>tunc</w:t>
      </w:r>
      <w:proofErr w:type="spellEnd"/>
      <w:r w:rsidRPr="009D5AE9">
        <w:rPr>
          <w:rFonts w:cstheme="minorHAnsi"/>
        </w:rPr>
        <w:t xml:space="preserve"> czy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 xml:space="preserve"> oraz czy w przypadku odstąpienia ze skutkiem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>, czy odstępuje w zakresie całej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, czy tylko w określonym zakresie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. Zamawiający oznaczy swój wybór w tym zakresie w treści oświadczenia o odstąpieniu.</w:t>
      </w:r>
    </w:p>
    <w:p w14:paraId="3CF11041" w14:textId="26A2A5C5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Odstąpienie dokonane na podstawie postanowień stanowi odstąpienie z przyczyn leżących po stronie Wykonawcy.</w:t>
      </w:r>
      <w:r w:rsidR="009B4C4A" w:rsidRPr="009D5AE9">
        <w:rPr>
          <w:rFonts w:cstheme="minorHAnsi"/>
        </w:rPr>
        <w:t xml:space="preserve"> Dla uniknięcia wątpliwości, w </w:t>
      </w:r>
      <w:r w:rsidR="005B495C" w:rsidRPr="009D5AE9">
        <w:rPr>
          <w:rFonts w:cstheme="minorHAnsi"/>
        </w:rPr>
        <w:t>przypadku,</w:t>
      </w:r>
      <w:r w:rsidR="009B4C4A" w:rsidRPr="009D5AE9">
        <w:rPr>
          <w:rFonts w:cstheme="minorHAnsi"/>
        </w:rPr>
        <w:t xml:space="preserve"> </w:t>
      </w:r>
      <w:r w:rsidR="005B495C" w:rsidRPr="009D5AE9">
        <w:rPr>
          <w:rFonts w:cstheme="minorHAnsi"/>
        </w:rPr>
        <w:t>gdy Zamawiający</w:t>
      </w:r>
      <w:r w:rsidR="009B4C4A" w:rsidRPr="009D5AE9">
        <w:rPr>
          <w:rFonts w:cstheme="minorHAnsi"/>
        </w:rPr>
        <w:t xml:space="preserve"> odstąpi od </w:t>
      </w:r>
      <w:r w:rsidR="00BF5B76" w:rsidRPr="009D5AE9">
        <w:rPr>
          <w:rFonts w:cstheme="minorHAnsi"/>
        </w:rPr>
        <w:t>u</w:t>
      </w:r>
      <w:r w:rsidR="009B4C4A" w:rsidRPr="009D5AE9">
        <w:rPr>
          <w:rFonts w:cstheme="minorHAnsi"/>
        </w:rPr>
        <w:t xml:space="preserve">mowy na podstawie </w:t>
      </w:r>
      <w:r w:rsidR="003A5589">
        <w:rPr>
          <w:rFonts w:cstheme="minorHAnsi"/>
        </w:rPr>
        <w:t>postanowień określonych w niniejszym Załączniku</w:t>
      </w:r>
      <w:r w:rsidR="009B4C4A" w:rsidRPr="009D5AE9">
        <w:rPr>
          <w:rFonts w:cstheme="minorHAnsi"/>
        </w:rPr>
        <w:t>, Zamawiający będzie uprawniony do naliczenia kary umownej</w:t>
      </w:r>
      <w:r w:rsidR="00F00720" w:rsidRPr="009D5AE9">
        <w:rPr>
          <w:rFonts w:cstheme="minorHAnsi"/>
        </w:rPr>
        <w:t>,</w:t>
      </w:r>
      <w:r w:rsidR="009B4C4A" w:rsidRPr="009D5AE9">
        <w:rPr>
          <w:rFonts w:cstheme="minorHAnsi"/>
        </w:rPr>
        <w:t xml:space="preserve"> o której mowa w </w:t>
      </w:r>
      <w:r w:rsidR="005B495C" w:rsidRPr="009D5AE9">
        <w:rPr>
          <w:rFonts w:ascii="Calibri" w:hAnsi="Calibri" w:cs="Calibri"/>
          <w:color w:val="000000"/>
        </w:rPr>
        <w:t xml:space="preserve">§ </w:t>
      </w:r>
      <w:r w:rsidR="00404AD4">
        <w:rPr>
          <w:rFonts w:ascii="Calibri" w:hAnsi="Calibri" w:cs="Calibri"/>
          <w:color w:val="000000"/>
        </w:rPr>
        <w:t>12 ust. 1 pkt 3 U</w:t>
      </w:r>
      <w:r w:rsidR="005B495C" w:rsidRPr="009D5AE9">
        <w:rPr>
          <w:rFonts w:ascii="Calibri" w:hAnsi="Calibri" w:cs="Calibri"/>
          <w:color w:val="000000"/>
        </w:rPr>
        <w:t>mowy</w:t>
      </w:r>
      <w:r w:rsidR="00FE04AE" w:rsidRPr="009D5AE9">
        <w:rPr>
          <w:rFonts w:ascii="Calibri" w:hAnsi="Calibri" w:cs="Calibri"/>
          <w:color w:val="000000"/>
        </w:rPr>
        <w:t>.</w:t>
      </w:r>
    </w:p>
    <w:p w14:paraId="07095480" w14:textId="48BE3CED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postanowień </w:t>
      </w:r>
      <w:r w:rsidR="003A5589">
        <w:rPr>
          <w:rFonts w:cstheme="minorHAnsi"/>
        </w:rPr>
        <w:t>określonych w niniejszym Załączniku</w:t>
      </w:r>
      <w:r w:rsidR="003A5589" w:rsidRPr="009D5AE9" w:rsidDel="003A5589">
        <w:rPr>
          <w:rFonts w:cstheme="minorHAnsi"/>
        </w:rPr>
        <w:t xml:space="preserve"> </w:t>
      </w:r>
      <w:r w:rsidR="00522533">
        <w:rPr>
          <w:rFonts w:cstheme="minorHAnsi"/>
        </w:rPr>
        <w:t xml:space="preserve">odpowiednie </w:t>
      </w:r>
      <w:r w:rsidRPr="009D5AE9">
        <w:rPr>
          <w:rFonts w:cstheme="minorHAnsi"/>
        </w:rPr>
        <w:t xml:space="preserve">zastosowanie znajdują postanowienia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dotyczące skutków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i postępowania po odstąpieniu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mowy.</w:t>
      </w:r>
    </w:p>
    <w:p w14:paraId="0BFB5F89" w14:textId="7AB2EAF4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Zamawiający może naliczyć Wykonawcy karę umowną w wysokości </w:t>
      </w:r>
      <w:r w:rsidR="00404AD4">
        <w:rPr>
          <w:rFonts w:cstheme="minorHAnsi"/>
        </w:rPr>
        <w:t>0,05%</w:t>
      </w:r>
      <w:r w:rsidR="00404AD4" w:rsidRPr="009D5AE9">
        <w:rPr>
          <w:rFonts w:cstheme="minorHAnsi"/>
        </w:rPr>
        <w:t xml:space="preserve"> </w:t>
      </w:r>
      <w:r w:rsidR="00EA12D7" w:rsidRPr="009D5AE9">
        <w:rPr>
          <w:rFonts w:cstheme="minorHAnsi"/>
        </w:rPr>
        <w:t xml:space="preserve">Wynagrodzenia netto </w:t>
      </w:r>
      <w:r w:rsidRPr="009D5AE9">
        <w:rPr>
          <w:rFonts w:cstheme="minorHAnsi"/>
        </w:rPr>
        <w:t xml:space="preserve">w </w:t>
      </w:r>
      <w:r w:rsidR="00C1530C" w:rsidRPr="009D5AE9">
        <w:rPr>
          <w:rFonts w:cstheme="minorHAnsi"/>
        </w:rPr>
        <w:t xml:space="preserve">każdym z następujących </w:t>
      </w:r>
      <w:r w:rsidRPr="009D5AE9">
        <w:rPr>
          <w:rFonts w:cstheme="minorHAnsi"/>
        </w:rPr>
        <w:t>przypadk</w:t>
      </w:r>
      <w:r w:rsidR="00C1530C" w:rsidRPr="009D5AE9">
        <w:rPr>
          <w:rFonts w:cstheme="minorHAnsi"/>
        </w:rPr>
        <w:t>ów</w:t>
      </w:r>
      <w:r w:rsidRPr="009D5AE9">
        <w:rPr>
          <w:rFonts w:cstheme="minorHAnsi"/>
        </w:rPr>
        <w:t xml:space="preserve">, </w:t>
      </w:r>
      <w:r w:rsidR="001D1AA2" w:rsidRPr="009D5AE9">
        <w:rPr>
          <w:rFonts w:cstheme="minorHAnsi"/>
        </w:rPr>
        <w:t xml:space="preserve">tj. </w:t>
      </w:r>
      <w:r w:rsidRPr="009D5AE9">
        <w:rPr>
          <w:rFonts w:cstheme="minorHAnsi"/>
        </w:rPr>
        <w:t>gdy:</w:t>
      </w:r>
    </w:p>
    <w:p w14:paraId="458CC49D" w14:textId="5BB30FA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oświadczenie Wykonawcy, o którym mowa w ust. 2</w:t>
      </w:r>
      <w:r w:rsidR="00DB3B90" w:rsidRPr="009D5AE9">
        <w:rPr>
          <w:rFonts w:cstheme="minorHAnsi"/>
        </w:rPr>
        <w:t>, 3, 4</w:t>
      </w:r>
      <w:r w:rsidRPr="009D5AE9">
        <w:rPr>
          <w:rFonts w:cstheme="minorHAnsi"/>
        </w:rPr>
        <w:t xml:space="preserve"> lub oświadczenie Wykonawcy złożone w myśl ust. 5</w:t>
      </w:r>
      <w:r w:rsidR="00DB3B90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okaże się </w:t>
      </w:r>
      <w:r w:rsidR="000B0CAA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445F9D91" w14:textId="4CE1B8D2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 zawarciu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Podmiotem Objętym Sankcjami </w:t>
      </w:r>
      <w:r w:rsidR="0003156E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 nie dokona zawiadomienia, o którym mowa w ust. 7</w:t>
      </w:r>
      <w:r w:rsidR="001D5133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w terminie określonym w ust. 8,</w:t>
      </w:r>
    </w:p>
    <w:p w14:paraId="232C980C" w14:textId="1B6A05A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0D1CC12" w14:textId="7F6CD19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nie złoży Zamawiającemu oświadcze</w:t>
      </w:r>
      <w:r w:rsidR="00D302C4" w:rsidRPr="009D5AE9">
        <w:rPr>
          <w:rFonts w:cstheme="minorHAnsi"/>
        </w:rPr>
        <w:t>ń</w:t>
      </w:r>
      <w:r w:rsidRPr="009D5AE9">
        <w:rPr>
          <w:rFonts w:cstheme="minorHAnsi"/>
        </w:rPr>
        <w:t>, o który</w:t>
      </w:r>
      <w:r w:rsidR="00D302C4" w:rsidRPr="009D5AE9">
        <w:rPr>
          <w:rFonts w:cstheme="minorHAnsi"/>
        </w:rPr>
        <w:t>ch</w:t>
      </w:r>
      <w:r w:rsidRPr="009D5AE9">
        <w:rPr>
          <w:rFonts w:cstheme="minorHAnsi"/>
        </w:rPr>
        <w:t xml:space="preserve"> mowa w ust. 5 i to pomimo ponownego wezwania Wykonawcy do złożenia takiego oświadczenia i wyznaczenia na to dodatkowego terminu nie krótszego niż 3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,</w:t>
      </w:r>
      <w:r w:rsidR="0048434F" w:rsidRPr="009D5AE9">
        <w:rPr>
          <w:rFonts w:cstheme="minorHAnsi"/>
        </w:rPr>
        <w:t xml:space="preserve"> lub</w:t>
      </w:r>
    </w:p>
    <w:p w14:paraId="74249060" w14:textId="0CB23A3F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</w:t>
      </w:r>
      <w:r w:rsidR="0048434F" w:rsidRPr="009D5AE9">
        <w:rPr>
          <w:rFonts w:cstheme="minorHAnsi"/>
        </w:rPr>
        <w:t>.</w:t>
      </w:r>
    </w:p>
    <w:p w14:paraId="219EE03A" w14:textId="0F0C3D90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Kary umowne zastrzeżone w ust. 17 nie podlegają kumulacji. W przypadku wystąpienia jednej lub większej liczby przesłanek do naliczenia kar umownych, o których mowa w ust. 17 Wykonawca zapłaci Zamawiającemu jedną karę umowną w wysokości </w:t>
      </w:r>
      <w:r w:rsidR="00404AD4">
        <w:rPr>
          <w:rFonts w:cstheme="minorHAnsi"/>
        </w:rPr>
        <w:t xml:space="preserve">0,1 </w:t>
      </w:r>
      <w:r w:rsidRPr="009D5AE9">
        <w:rPr>
          <w:rFonts w:cstheme="minorHAnsi"/>
        </w:rPr>
        <w:t xml:space="preserve">% </w:t>
      </w:r>
      <w:r w:rsidR="0092521A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  <w:r w:rsidR="001A2908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Łączna wartość kar umownych </w:t>
      </w:r>
      <w:r w:rsidR="003A5589">
        <w:rPr>
          <w:rFonts w:cstheme="minorHAnsi"/>
        </w:rPr>
        <w:t>określonych na podstawie ust. 17</w:t>
      </w:r>
      <w:r w:rsidRPr="009D5AE9">
        <w:rPr>
          <w:rFonts w:cstheme="minorHAnsi"/>
        </w:rPr>
        <w:t xml:space="preserve"> nie przekroczy </w:t>
      </w:r>
      <w:r w:rsidR="003A5589">
        <w:rPr>
          <w:rFonts w:cstheme="minorHAnsi"/>
        </w:rPr>
        <w:t>2</w:t>
      </w:r>
      <w:r w:rsidR="00404AD4">
        <w:rPr>
          <w:rFonts w:cstheme="minorHAnsi"/>
        </w:rPr>
        <w:t xml:space="preserve"> %</w:t>
      </w:r>
      <w:r w:rsidR="00404AD4" w:rsidRPr="009D5AE9">
        <w:rPr>
          <w:rFonts w:cstheme="minorHAnsi"/>
        </w:rPr>
        <w:t xml:space="preserve"> </w:t>
      </w:r>
      <w:r w:rsidR="00EA12D7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</w:p>
    <w:p w14:paraId="0D057455" w14:textId="56153918" w:rsidR="00274C39" w:rsidRPr="009D5AE9" w:rsidRDefault="00B458A2" w:rsidP="00274C39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celu uniknięcia wątpliwości strony potwierdzają, że</w:t>
      </w:r>
      <w:r w:rsidR="00A02733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naruszenie zobowiązań, o których mowa w ust. 3, ust. 4 i ust. 7 </w:t>
      </w:r>
      <w:r w:rsidR="00274C39" w:rsidRPr="009D5AE9">
        <w:rPr>
          <w:rFonts w:cstheme="minorHAnsi"/>
        </w:rPr>
        <w:t xml:space="preserve">ma charakter </w:t>
      </w:r>
      <w:r w:rsidRPr="009D5AE9">
        <w:rPr>
          <w:rFonts w:cstheme="minorHAnsi"/>
        </w:rPr>
        <w:t>odpowiedzialności gwarancyjn</w:t>
      </w:r>
      <w:r w:rsidR="00BF5B76" w:rsidRPr="009D5AE9">
        <w:rPr>
          <w:rFonts w:cstheme="minorHAnsi"/>
        </w:rPr>
        <w:t>ej</w:t>
      </w:r>
      <w:r w:rsidR="001D47E6" w:rsidRPr="009D5AE9">
        <w:rPr>
          <w:rFonts w:cstheme="minorHAnsi"/>
        </w:rPr>
        <w:t>, w szczególności Wykonawca odpowiada względem Zamawiającego za zachowania własne oraz zachowania wszelkich innych osób (z wyłączeniem Zamawiającego i osób</w:t>
      </w:r>
      <w:r w:rsidR="00AE676D" w:rsidRPr="009D5AE9">
        <w:rPr>
          <w:rFonts w:cstheme="minorHAnsi"/>
        </w:rPr>
        <w:t>,</w:t>
      </w:r>
      <w:r w:rsidR="001D47E6" w:rsidRPr="009D5AE9">
        <w:rPr>
          <w:rFonts w:cstheme="minorHAnsi"/>
        </w:rPr>
        <w:t xml:space="preserve"> za które Zamawiający ponosi wyłączną odpowiedzialność) oraz za naruszenia będące skutkiem okoliczności przypadkowych</w:t>
      </w:r>
      <w:r w:rsidR="000C196F" w:rsidRPr="009D5AE9">
        <w:rPr>
          <w:rFonts w:cstheme="minorHAnsi"/>
        </w:rPr>
        <w:t>,</w:t>
      </w:r>
      <w:r w:rsidR="00A02733" w:rsidRPr="009D5AE9">
        <w:rPr>
          <w:rFonts w:cstheme="minorHAnsi"/>
        </w:rPr>
        <w:t xml:space="preserve"> a </w:t>
      </w:r>
      <w:r w:rsidR="00BF5B76" w:rsidRPr="009D5AE9">
        <w:rPr>
          <w:rFonts w:cstheme="minorHAnsi"/>
        </w:rPr>
        <w:t xml:space="preserve">odstąpienie od </w:t>
      </w:r>
      <w:r w:rsidR="00CA12FF">
        <w:rPr>
          <w:rFonts w:cstheme="minorHAnsi"/>
        </w:rPr>
        <w:t>u</w:t>
      </w:r>
      <w:r w:rsidR="003A5589" w:rsidRPr="009D5AE9">
        <w:rPr>
          <w:rFonts w:cstheme="minorHAnsi"/>
        </w:rPr>
        <w:t xml:space="preserve">mowy </w:t>
      </w:r>
      <w:r w:rsidRPr="009D5AE9">
        <w:rPr>
          <w:rFonts w:cstheme="minorHAnsi"/>
        </w:rPr>
        <w:t xml:space="preserve">nie wyłącza prawa do dochodzenia zapłaty kar umownych, jak również nie </w:t>
      </w:r>
      <w:r w:rsidRPr="009D5AE9">
        <w:rPr>
          <w:rFonts w:cstheme="minorHAnsi"/>
        </w:rPr>
        <w:lastRenderedPageBreak/>
        <w:t>ma wpływu na zobowiązania Wykonawcy wynikające z rękojmi za wady i gwarancji jakości</w:t>
      </w:r>
      <w:r w:rsidR="00274C39" w:rsidRPr="009D5AE9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 poufności danych osobowych, nabytych majątkowych praw autorskich, uprawnień licencyjnych).</w:t>
      </w:r>
    </w:p>
    <w:p w14:paraId="47E25141" w14:textId="50420152" w:rsidR="00B458A2" w:rsidRPr="009D5AE9" w:rsidRDefault="00B458A2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p w14:paraId="0F397445" w14:textId="77777777" w:rsidR="00BF5B76" w:rsidRPr="007B16E7" w:rsidRDefault="00BF5B76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sectPr w:rsidR="00BF5B76" w:rsidRPr="007B16E7" w:rsidSect="009F5A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4423" w14:textId="77777777" w:rsidR="003C286E" w:rsidRDefault="003C286E" w:rsidP="00D2273F">
      <w:pPr>
        <w:spacing w:after="0" w:line="240" w:lineRule="auto"/>
      </w:pPr>
      <w:r>
        <w:separator/>
      </w:r>
    </w:p>
  </w:endnote>
  <w:endnote w:type="continuationSeparator" w:id="0">
    <w:p w14:paraId="7B63E34B" w14:textId="77777777" w:rsidR="003C286E" w:rsidRDefault="003C286E" w:rsidP="00D2273F">
      <w:pPr>
        <w:spacing w:after="0" w:line="240" w:lineRule="auto"/>
      </w:pPr>
      <w:r>
        <w:continuationSeparator/>
      </w:r>
    </w:p>
  </w:endnote>
  <w:endnote w:type="continuationNotice" w:id="1">
    <w:p w14:paraId="0A51A244" w14:textId="77777777" w:rsidR="003C286E" w:rsidRDefault="003C2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159F" w14:textId="77777777" w:rsidR="00B83974" w:rsidRDefault="00B839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55EE" w14:textId="433491C0" w:rsidR="009F5AF5" w:rsidRDefault="009F5AF5" w:rsidP="009F5AF5">
    <w:pPr>
      <w:pStyle w:val="Stopka"/>
      <w:jc w:val="center"/>
    </w:pPr>
    <w:r>
      <w:rPr>
        <w:noProof/>
      </w:rPr>
      <w:drawing>
        <wp:inline distT="0" distB="0" distL="0" distR="0" wp14:anchorId="52C849AA" wp14:editId="421FB65F">
          <wp:extent cx="2520000" cy="675000"/>
          <wp:effectExtent l="0" t="0" r="0" b="0"/>
          <wp:docPr id="2088711735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711735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40BE" w14:textId="77777777" w:rsidR="00B83974" w:rsidRDefault="00B83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ACF7F" w14:textId="77777777" w:rsidR="003C286E" w:rsidRDefault="003C286E" w:rsidP="00D2273F">
      <w:pPr>
        <w:spacing w:after="0" w:line="240" w:lineRule="auto"/>
      </w:pPr>
      <w:r>
        <w:separator/>
      </w:r>
    </w:p>
  </w:footnote>
  <w:footnote w:type="continuationSeparator" w:id="0">
    <w:p w14:paraId="1808CED3" w14:textId="77777777" w:rsidR="003C286E" w:rsidRDefault="003C286E" w:rsidP="00D2273F">
      <w:pPr>
        <w:spacing w:after="0" w:line="240" w:lineRule="auto"/>
      </w:pPr>
      <w:r>
        <w:continuationSeparator/>
      </w:r>
    </w:p>
  </w:footnote>
  <w:footnote w:type="continuationNotice" w:id="1">
    <w:p w14:paraId="1EE450D6" w14:textId="77777777" w:rsidR="003C286E" w:rsidRDefault="003C2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D53C6" w14:textId="77777777" w:rsidR="00B83974" w:rsidRDefault="00B839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56E4" w14:textId="1F214A9C" w:rsidR="00902868" w:rsidRDefault="0090286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380881" wp14:editId="20DD87B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bafe48bab46ab823f4f4ae71" descr="{&quot;HashCode&quot;:-133166206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BBAB20" w14:textId="5A09623F" w:rsidR="00902868" w:rsidRPr="00902868" w:rsidRDefault="00902868" w:rsidP="0090286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380881" id="_x0000_t202" coordsize="21600,21600" o:spt="202" path="m,l,21600r21600,l21600,xe">
              <v:stroke joinstyle="miter"/>
              <v:path gradientshapeok="t" o:connecttype="rect"/>
            </v:shapetype>
            <v:shape id="MSIPCMbafe48bab46ab823f4f4ae71" o:spid="_x0000_s1026" type="#_x0000_t202" alt="{&quot;HashCode&quot;:-133166206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5CBBAB20" w14:textId="5A09623F" w:rsidR="00902868" w:rsidRPr="00902868" w:rsidRDefault="00902868" w:rsidP="0090286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4209" w14:textId="77777777" w:rsidR="00B83974" w:rsidRDefault="00B839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23945055">
    <w:abstractNumId w:val="5"/>
  </w:num>
  <w:num w:numId="2" w16cid:durableId="1946108755">
    <w:abstractNumId w:val="4"/>
  </w:num>
  <w:num w:numId="3" w16cid:durableId="1776317271">
    <w:abstractNumId w:val="2"/>
  </w:num>
  <w:num w:numId="4" w16cid:durableId="1318799396">
    <w:abstractNumId w:val="1"/>
  </w:num>
  <w:num w:numId="5" w16cid:durableId="1974097951">
    <w:abstractNumId w:val="7"/>
  </w:num>
  <w:num w:numId="6" w16cid:durableId="52438089">
    <w:abstractNumId w:val="6"/>
  </w:num>
  <w:num w:numId="7" w16cid:durableId="1630279060">
    <w:abstractNumId w:val="3"/>
  </w:num>
  <w:num w:numId="8" w16cid:durableId="1682315042">
    <w:abstractNumId w:val="0"/>
  </w:num>
  <w:num w:numId="9" w16cid:durableId="1526676690">
    <w:abstractNumId w:val="0"/>
  </w:num>
  <w:num w:numId="10" w16cid:durableId="1522936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529C"/>
    <w:rsid w:val="00007C64"/>
    <w:rsid w:val="0003156E"/>
    <w:rsid w:val="00091C3A"/>
    <w:rsid w:val="000A0026"/>
    <w:rsid w:val="000A6086"/>
    <w:rsid w:val="000B0CAA"/>
    <w:rsid w:val="000C196F"/>
    <w:rsid w:val="000E7D71"/>
    <w:rsid w:val="000F6661"/>
    <w:rsid w:val="001115EB"/>
    <w:rsid w:val="0015703B"/>
    <w:rsid w:val="00164C75"/>
    <w:rsid w:val="0017666F"/>
    <w:rsid w:val="001849E4"/>
    <w:rsid w:val="0018589E"/>
    <w:rsid w:val="001924FB"/>
    <w:rsid w:val="00195114"/>
    <w:rsid w:val="001A2908"/>
    <w:rsid w:val="001B18FA"/>
    <w:rsid w:val="001B3030"/>
    <w:rsid w:val="001B694D"/>
    <w:rsid w:val="001D1AA2"/>
    <w:rsid w:val="001D3CF9"/>
    <w:rsid w:val="001D47E6"/>
    <w:rsid w:val="001D5133"/>
    <w:rsid w:val="001F4B96"/>
    <w:rsid w:val="002036AC"/>
    <w:rsid w:val="00203BDF"/>
    <w:rsid w:val="00212F60"/>
    <w:rsid w:val="00241083"/>
    <w:rsid w:val="00257D03"/>
    <w:rsid w:val="00261B44"/>
    <w:rsid w:val="0026630F"/>
    <w:rsid w:val="00272055"/>
    <w:rsid w:val="00272722"/>
    <w:rsid w:val="00274C39"/>
    <w:rsid w:val="0028514C"/>
    <w:rsid w:val="002B095B"/>
    <w:rsid w:val="002B223B"/>
    <w:rsid w:val="002B4D2F"/>
    <w:rsid w:val="002D5B1E"/>
    <w:rsid w:val="002E2A65"/>
    <w:rsid w:val="002E538C"/>
    <w:rsid w:val="003867DC"/>
    <w:rsid w:val="00393357"/>
    <w:rsid w:val="00393BFE"/>
    <w:rsid w:val="003A5589"/>
    <w:rsid w:val="003A7390"/>
    <w:rsid w:val="003B70A3"/>
    <w:rsid w:val="003C286E"/>
    <w:rsid w:val="003C31F2"/>
    <w:rsid w:val="003C639A"/>
    <w:rsid w:val="003D3E7A"/>
    <w:rsid w:val="003D589B"/>
    <w:rsid w:val="003D6426"/>
    <w:rsid w:val="00404AD4"/>
    <w:rsid w:val="004078D9"/>
    <w:rsid w:val="00414DFB"/>
    <w:rsid w:val="004335A0"/>
    <w:rsid w:val="00437042"/>
    <w:rsid w:val="004401AD"/>
    <w:rsid w:val="00464049"/>
    <w:rsid w:val="0047209E"/>
    <w:rsid w:val="004810CB"/>
    <w:rsid w:val="00483D8B"/>
    <w:rsid w:val="0048434F"/>
    <w:rsid w:val="004857AB"/>
    <w:rsid w:val="00486E73"/>
    <w:rsid w:val="004B4C63"/>
    <w:rsid w:val="004B5C9E"/>
    <w:rsid w:val="004C646D"/>
    <w:rsid w:val="004F27CF"/>
    <w:rsid w:val="00502BB2"/>
    <w:rsid w:val="00511859"/>
    <w:rsid w:val="00513F06"/>
    <w:rsid w:val="00517E19"/>
    <w:rsid w:val="00517F44"/>
    <w:rsid w:val="00522533"/>
    <w:rsid w:val="00541B48"/>
    <w:rsid w:val="00567B74"/>
    <w:rsid w:val="00590993"/>
    <w:rsid w:val="005A66FB"/>
    <w:rsid w:val="005B495C"/>
    <w:rsid w:val="005C2D20"/>
    <w:rsid w:val="005C61EA"/>
    <w:rsid w:val="005D0239"/>
    <w:rsid w:val="005E0113"/>
    <w:rsid w:val="005E6F42"/>
    <w:rsid w:val="0060244E"/>
    <w:rsid w:val="00624976"/>
    <w:rsid w:val="00626699"/>
    <w:rsid w:val="00626CBA"/>
    <w:rsid w:val="006334D1"/>
    <w:rsid w:val="006349D3"/>
    <w:rsid w:val="00650EBA"/>
    <w:rsid w:val="00656225"/>
    <w:rsid w:val="0069640F"/>
    <w:rsid w:val="006A6067"/>
    <w:rsid w:val="006A79BD"/>
    <w:rsid w:val="006C4F81"/>
    <w:rsid w:val="006D19F8"/>
    <w:rsid w:val="006D7560"/>
    <w:rsid w:val="006F6CF6"/>
    <w:rsid w:val="0070413F"/>
    <w:rsid w:val="00707E6A"/>
    <w:rsid w:val="00720194"/>
    <w:rsid w:val="00747F5C"/>
    <w:rsid w:val="007644FE"/>
    <w:rsid w:val="007A2624"/>
    <w:rsid w:val="007B16E7"/>
    <w:rsid w:val="007B2B54"/>
    <w:rsid w:val="007B5B57"/>
    <w:rsid w:val="007D24CB"/>
    <w:rsid w:val="0080099E"/>
    <w:rsid w:val="00803644"/>
    <w:rsid w:val="0080491E"/>
    <w:rsid w:val="008101DF"/>
    <w:rsid w:val="00817664"/>
    <w:rsid w:val="00820F6D"/>
    <w:rsid w:val="00846EA4"/>
    <w:rsid w:val="00857DE5"/>
    <w:rsid w:val="00864D13"/>
    <w:rsid w:val="00866317"/>
    <w:rsid w:val="00884A60"/>
    <w:rsid w:val="008A1E8F"/>
    <w:rsid w:val="0090103F"/>
    <w:rsid w:val="00902868"/>
    <w:rsid w:val="00915E48"/>
    <w:rsid w:val="0092521A"/>
    <w:rsid w:val="00967785"/>
    <w:rsid w:val="00993300"/>
    <w:rsid w:val="00994EA7"/>
    <w:rsid w:val="009A42FB"/>
    <w:rsid w:val="009B4C4A"/>
    <w:rsid w:val="009D5AE9"/>
    <w:rsid w:val="009E1D00"/>
    <w:rsid w:val="009E4D09"/>
    <w:rsid w:val="009F5AF5"/>
    <w:rsid w:val="00A026F3"/>
    <w:rsid w:val="00A02733"/>
    <w:rsid w:val="00A048BF"/>
    <w:rsid w:val="00A10CA2"/>
    <w:rsid w:val="00A16377"/>
    <w:rsid w:val="00A22D32"/>
    <w:rsid w:val="00A312D7"/>
    <w:rsid w:val="00A51C5A"/>
    <w:rsid w:val="00A55FDE"/>
    <w:rsid w:val="00A56CD7"/>
    <w:rsid w:val="00A71B10"/>
    <w:rsid w:val="00A809D1"/>
    <w:rsid w:val="00AA3AB3"/>
    <w:rsid w:val="00AB1C18"/>
    <w:rsid w:val="00AD4F9B"/>
    <w:rsid w:val="00AE676D"/>
    <w:rsid w:val="00B10C86"/>
    <w:rsid w:val="00B24284"/>
    <w:rsid w:val="00B24933"/>
    <w:rsid w:val="00B370F6"/>
    <w:rsid w:val="00B40318"/>
    <w:rsid w:val="00B458A2"/>
    <w:rsid w:val="00B7505A"/>
    <w:rsid w:val="00B83974"/>
    <w:rsid w:val="00BA0387"/>
    <w:rsid w:val="00BA74C0"/>
    <w:rsid w:val="00BC6758"/>
    <w:rsid w:val="00BD31D1"/>
    <w:rsid w:val="00BF1F67"/>
    <w:rsid w:val="00BF5B76"/>
    <w:rsid w:val="00BF79E6"/>
    <w:rsid w:val="00C1530C"/>
    <w:rsid w:val="00C80A8A"/>
    <w:rsid w:val="00C83252"/>
    <w:rsid w:val="00C95650"/>
    <w:rsid w:val="00CA0438"/>
    <w:rsid w:val="00CA12FF"/>
    <w:rsid w:val="00CA1EE6"/>
    <w:rsid w:val="00CB5569"/>
    <w:rsid w:val="00CC616C"/>
    <w:rsid w:val="00D2273F"/>
    <w:rsid w:val="00D25978"/>
    <w:rsid w:val="00D302C4"/>
    <w:rsid w:val="00D62188"/>
    <w:rsid w:val="00D63556"/>
    <w:rsid w:val="00D85180"/>
    <w:rsid w:val="00D9107B"/>
    <w:rsid w:val="00D947BD"/>
    <w:rsid w:val="00DB3B90"/>
    <w:rsid w:val="00DB5FA1"/>
    <w:rsid w:val="00DC137A"/>
    <w:rsid w:val="00E108C3"/>
    <w:rsid w:val="00E13F7A"/>
    <w:rsid w:val="00E15D57"/>
    <w:rsid w:val="00E3189B"/>
    <w:rsid w:val="00E50E9D"/>
    <w:rsid w:val="00E939CA"/>
    <w:rsid w:val="00E9741C"/>
    <w:rsid w:val="00EA12D7"/>
    <w:rsid w:val="00EB09DF"/>
    <w:rsid w:val="00EB1CB8"/>
    <w:rsid w:val="00EF20FF"/>
    <w:rsid w:val="00F00720"/>
    <w:rsid w:val="00F02C9E"/>
    <w:rsid w:val="00F422BF"/>
    <w:rsid w:val="00F46190"/>
    <w:rsid w:val="00F64FA7"/>
    <w:rsid w:val="00F72D82"/>
    <w:rsid w:val="00F7473C"/>
    <w:rsid w:val="00FC2D69"/>
    <w:rsid w:val="00FC6F19"/>
    <w:rsid w:val="00FE04AE"/>
    <w:rsid w:val="00FE5F46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do Umowy - Klauzula sankcyjna do dużych umów inwestycyjnych.docx</dmsv2BaseFileName>
    <dmsv2BaseDisplayName xmlns="http://schemas.microsoft.com/sharepoint/v3">Załącznik nr 12 do Umowy - Klauzula sankcyjna do dużych umów inwestycyjnych</dmsv2BaseDisplayName>
    <dmsv2SWPP2ObjectNumber xmlns="http://schemas.microsoft.com/sharepoint/v3" xsi:nil="true"/>
    <dmsv2SWPP2SumMD5 xmlns="http://schemas.microsoft.com/sharepoint/v3">a554d81dce466d6ea66a8a894bd4d2f2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647118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20040494</dmsv2BaseClientSystemDocumentID>
    <dmsv2BaseModifiedByID xmlns="http://schemas.microsoft.com/sharepoint/v3">11702041</dmsv2BaseModifiedByID>
    <dmsv2BaseCreatedByID xmlns="http://schemas.microsoft.com/sharepoint/v3">11702041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7Q6WV3WKR5HX-32938802-2360</_dlc_DocId>
    <_dlc_DocIdUrl xmlns="a19cb1c7-c5c7-46d4-85ae-d83685407bba">
      <Url>https://swpp2.dms.gkpge.pl/sites/30/_layouts/15/DocIdRedir.aspx?ID=7Q6WV3WKR5HX-32938802-2360</Url>
      <Description>7Q6WV3WKR5HX-32938802-2360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A4E4633CFD50446B7BC35AFF9573C78" ma:contentTypeVersion="0" ma:contentTypeDescription="SWPP2 Dokument bazowy" ma:contentTypeScope="" ma:versionID="1787752fe79c446ce9cef315e00df39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E85BEF-663F-47F3-A251-33030087BD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7B41C24-701C-4CD3-A6A9-662E489C3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6D6FE3-0354-4483-BA63-278DDFE5D8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41CF17-5C76-44F1-8A74-9304890DC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2458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DZP</dc:creator>
  <cp:lastModifiedBy>Hryniów Justyna [PGE Dystr. O.Łódź]</cp:lastModifiedBy>
  <cp:revision>4</cp:revision>
  <cp:lastPrinted>2022-08-17T14:21:00Z</cp:lastPrinted>
  <dcterms:created xsi:type="dcterms:W3CDTF">2025-11-28T12:31:00Z</dcterms:created>
  <dcterms:modified xsi:type="dcterms:W3CDTF">2025-12-01T10:44:00Z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2022-07-20T14:58:39Z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5e72b644-a7da-4794-891b-91115748e67a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0x0101891000BA4E4633CFD50446B7BC35AFF9573C78</vt:lpwstr>
  </property>
  <property fmtid="{D5CDD505-2E9C-101B-9397-08002B2CF9AE}" pid="10" name="_dlc_DocIdItemGuid">
    <vt:lpwstr>4c830b1a-eced-4968-81f9-6fd06e99dd68</vt:lpwstr>
  </property>
  <property fmtid="{D5CDD505-2E9C-101B-9397-08002B2CF9AE}" pid="11" name="MSIP_Label_514114f9-be46-4331-8fe2-8a463f84c1e9_Enabled">
    <vt:lpwstr>true</vt:lpwstr>
  </property>
  <property fmtid="{D5CDD505-2E9C-101B-9397-08002B2CF9AE}" pid="12" name="MSIP_Label_514114f9-be46-4331-8fe2-8a463f84c1e9_SetDate">
    <vt:lpwstr>2024-11-08T07:08:35Z</vt:lpwstr>
  </property>
  <property fmtid="{D5CDD505-2E9C-101B-9397-08002B2CF9AE}" pid="13" name="MSIP_Label_514114f9-be46-4331-8fe2-8a463f84c1e9_Method">
    <vt:lpwstr>Privileged</vt:lpwstr>
  </property>
  <property fmtid="{D5CDD505-2E9C-101B-9397-08002B2CF9AE}" pid="14" name="MSIP_Label_514114f9-be46-4331-8fe2-8a463f84c1e9_Name">
    <vt:lpwstr>ALL-Wewnetrzne-w-GK-PGE</vt:lpwstr>
  </property>
  <property fmtid="{D5CDD505-2E9C-101B-9397-08002B2CF9AE}" pid="15" name="MSIP_Label_514114f9-be46-4331-8fe2-8a463f84c1e9_SiteId">
    <vt:lpwstr>e9895a11-04dc-4848-aa12-7fca9faefb60</vt:lpwstr>
  </property>
  <property fmtid="{D5CDD505-2E9C-101B-9397-08002B2CF9AE}" pid="16" name="MSIP_Label_514114f9-be46-4331-8fe2-8a463f84c1e9_ActionId">
    <vt:lpwstr>e540a3f7-c6b1-47b3-9b12-60748db7d667</vt:lpwstr>
  </property>
  <property fmtid="{D5CDD505-2E9C-101B-9397-08002B2CF9AE}" pid="17" name="MSIP_Label_514114f9-be46-4331-8fe2-8a463f84c1e9_ContentBits">
    <vt:lpwstr>1</vt:lpwstr>
  </property>
</Properties>
</file>